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79991" w14:textId="77777777" w:rsidR="00D85759" w:rsidRPr="00130346" w:rsidRDefault="00D85759" w:rsidP="00D85759">
      <w:pPr>
        <w:pStyle w:val="Pielikums"/>
      </w:pPr>
      <w:bookmarkStart w:id="0" w:name="_Toc189732718"/>
      <w:r w:rsidRPr="00B9100E">
        <w:t>2.pielikums</w:t>
      </w:r>
      <w:bookmarkStart w:id="1" w:name="_Toc485291307"/>
      <w:bookmarkStart w:id="2" w:name="_Toc485293954"/>
      <w:r>
        <w:br/>
      </w:r>
      <w:r w:rsidRPr="00130346">
        <w:t>Tehniskā specifikācija - Tehniskā piedāvājuma veidne</w:t>
      </w:r>
      <w:bookmarkEnd w:id="0"/>
      <w:bookmarkEnd w:id="1"/>
      <w:bookmarkEnd w:id="2"/>
    </w:p>
    <w:p w14:paraId="68FB4516" w14:textId="77777777" w:rsidR="00D85759" w:rsidRPr="00130346" w:rsidRDefault="00D85759" w:rsidP="00D85759">
      <w:pPr>
        <w:widowControl w:val="0"/>
      </w:pPr>
    </w:p>
    <w:p w14:paraId="0A964F1D" w14:textId="77777777" w:rsidR="00D85759" w:rsidRPr="00130346" w:rsidRDefault="00D85759" w:rsidP="00D85759">
      <w:pPr>
        <w:tabs>
          <w:tab w:val="left" w:pos="426"/>
        </w:tabs>
        <w:jc w:val="center"/>
        <w:rPr>
          <w:b/>
        </w:rPr>
      </w:pPr>
      <w:r w:rsidRPr="00130346">
        <w:rPr>
          <w:b/>
        </w:rPr>
        <w:t>TEHNISKĀ SPECIFIKĀCIJA - TEHNISKAIS PIEDĀVĀJUMS</w:t>
      </w:r>
    </w:p>
    <w:p w14:paraId="4365B126" w14:textId="77777777" w:rsidR="00D85759" w:rsidRPr="00130346" w:rsidRDefault="00D85759" w:rsidP="00D85759">
      <w:pPr>
        <w:tabs>
          <w:tab w:val="left" w:pos="426"/>
        </w:tabs>
        <w:jc w:val="both"/>
        <w:rPr>
          <w:bCs/>
        </w:rPr>
      </w:pPr>
    </w:p>
    <w:p w14:paraId="2F49DFB0" w14:textId="77777777" w:rsidR="00D85759" w:rsidRPr="00F42F0E" w:rsidRDefault="00D85759" w:rsidP="00D85759">
      <w:pPr>
        <w:numPr>
          <w:ilvl w:val="0"/>
          <w:numId w:val="1"/>
        </w:numPr>
        <w:shd w:val="clear" w:color="auto" w:fill="FFFFFF"/>
        <w:spacing w:after="200" w:line="276" w:lineRule="auto"/>
        <w:ind w:left="0" w:right="84" w:firstLine="426"/>
        <w:contextualSpacing/>
        <w:jc w:val="both"/>
        <w:rPr>
          <w:b/>
          <w:bCs/>
          <w:color w:val="333333"/>
        </w:rPr>
      </w:pPr>
      <w:r w:rsidRPr="00F42F0E">
        <w:t xml:space="preserve">Automātiskais paraugu ņēmējs ir paredzēts uzstādīšanai </w:t>
      </w:r>
      <w:r w:rsidRPr="00F42F0E">
        <w:rPr>
          <w:rFonts w:eastAsia="Calibri"/>
          <w:lang w:eastAsia="en-US"/>
        </w:rPr>
        <w:t>objektā Kanalizāciju sūkņu stacijā, Austuves ielā 5, Rīgā</w:t>
      </w:r>
      <w:r w:rsidRPr="00F42F0E">
        <w:t xml:space="preserve">, un </w:t>
      </w:r>
      <w:r w:rsidRPr="00F42F0E">
        <w:rPr>
          <w:rFonts w:eastAsia="Calibri"/>
          <w:lang w:eastAsia="en-US"/>
        </w:rPr>
        <w:t xml:space="preserve">Kanalizāciju sūkņu stacijā, </w:t>
      </w:r>
      <w:r w:rsidRPr="00F42F0E">
        <w:t>Daugavgrīvas iela 101, Rīgā, paraugu ņemšanai no stacijas rezervuāriem.</w:t>
      </w:r>
    </w:p>
    <w:p w14:paraId="40173775" w14:textId="77777777" w:rsidR="00D85759" w:rsidRPr="00F42F0E" w:rsidRDefault="00D85759" w:rsidP="00D85759">
      <w:pPr>
        <w:numPr>
          <w:ilvl w:val="0"/>
          <w:numId w:val="1"/>
        </w:numPr>
        <w:shd w:val="clear" w:color="auto" w:fill="FFFFFF"/>
        <w:spacing w:after="200" w:line="276" w:lineRule="auto"/>
        <w:ind w:left="0" w:right="84" w:firstLine="426"/>
        <w:contextualSpacing/>
        <w:jc w:val="both"/>
        <w:rPr>
          <w:b/>
          <w:bCs/>
          <w:color w:val="333333"/>
          <w:sz w:val="22"/>
          <w:szCs w:val="22"/>
        </w:rPr>
      </w:pPr>
      <w:r w:rsidRPr="00F42F0E">
        <w:t xml:space="preserve">Pretendentam jāveic </w:t>
      </w:r>
      <w:bookmarkStart w:id="3" w:name="_Hlk124871262"/>
      <w:r w:rsidRPr="00F42F0E">
        <w:t xml:space="preserve">Tehniskajai specifikācijai atbilstošas iekārtas </w:t>
      </w:r>
      <w:bookmarkEnd w:id="3"/>
      <w:r w:rsidRPr="00F42F0E">
        <w:t>piegāde, uzstādīšana, pieslēgšana un ieregulēšana.</w:t>
      </w:r>
    </w:p>
    <w:p w14:paraId="55B75925" w14:textId="77777777" w:rsidR="00D85759" w:rsidRPr="00F42F0E" w:rsidRDefault="00D85759" w:rsidP="00D85759">
      <w:pPr>
        <w:numPr>
          <w:ilvl w:val="0"/>
          <w:numId w:val="1"/>
        </w:numPr>
        <w:shd w:val="clear" w:color="auto" w:fill="FFFFFF"/>
        <w:spacing w:after="200" w:line="276" w:lineRule="auto"/>
        <w:ind w:left="0" w:right="538" w:firstLine="426"/>
        <w:contextualSpacing/>
        <w:jc w:val="both"/>
        <w:rPr>
          <w:color w:val="333333"/>
        </w:rPr>
      </w:pPr>
      <w:r w:rsidRPr="00F42F0E">
        <w:rPr>
          <w:color w:val="333333"/>
        </w:rPr>
        <w:t xml:space="preserve">Iekārtas tehniskā specifikācija:  </w:t>
      </w:r>
    </w:p>
    <w:p w14:paraId="75E3D1E1" w14:textId="77777777" w:rsidR="00D85759" w:rsidRPr="00F42F0E" w:rsidRDefault="00D85759" w:rsidP="00D85759">
      <w:pPr>
        <w:shd w:val="clear" w:color="auto" w:fill="FFFFFF"/>
        <w:rPr>
          <w:rFonts w:eastAsia="Calibri"/>
          <w:b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89"/>
        <w:gridCol w:w="2948"/>
      </w:tblGrid>
      <w:tr w:rsidR="00D85759" w:rsidRPr="00F42F0E" w14:paraId="3C0CED65" w14:textId="77777777" w:rsidTr="00D85759">
        <w:trPr>
          <w:tblHeader/>
          <w:jc w:val="center"/>
        </w:trPr>
        <w:tc>
          <w:tcPr>
            <w:tcW w:w="2518" w:type="dxa"/>
            <w:shd w:val="clear" w:color="auto" w:fill="auto"/>
          </w:tcPr>
          <w:p w14:paraId="3FF7A517" w14:textId="77777777" w:rsidR="00D85759" w:rsidRPr="00F42F0E" w:rsidRDefault="00D85759" w:rsidP="00A94938">
            <w:pPr>
              <w:jc w:val="center"/>
              <w:rPr>
                <w:b/>
                <w:bCs/>
              </w:rPr>
            </w:pPr>
            <w:r w:rsidRPr="00F42F0E">
              <w:rPr>
                <w:b/>
                <w:bCs/>
              </w:rPr>
              <w:t>Nosaukums</w:t>
            </w:r>
          </w:p>
        </w:tc>
        <w:tc>
          <w:tcPr>
            <w:tcW w:w="3289" w:type="dxa"/>
            <w:shd w:val="clear" w:color="auto" w:fill="auto"/>
          </w:tcPr>
          <w:p w14:paraId="1A85430B" w14:textId="77777777" w:rsidR="00D85759" w:rsidRPr="00F42F0E" w:rsidRDefault="00D85759" w:rsidP="00A94938">
            <w:pPr>
              <w:jc w:val="center"/>
              <w:rPr>
                <w:b/>
                <w:bCs/>
              </w:rPr>
            </w:pPr>
            <w:r w:rsidRPr="00F42F0E">
              <w:rPr>
                <w:b/>
                <w:bCs/>
              </w:rPr>
              <w:t>Parametri</w:t>
            </w:r>
          </w:p>
        </w:tc>
        <w:tc>
          <w:tcPr>
            <w:tcW w:w="2948" w:type="dxa"/>
            <w:shd w:val="clear" w:color="auto" w:fill="auto"/>
          </w:tcPr>
          <w:p w14:paraId="0569AEC1" w14:textId="77777777" w:rsidR="00D85759" w:rsidRDefault="00D85759" w:rsidP="00A94938">
            <w:pPr>
              <w:jc w:val="center"/>
              <w:rPr>
                <w:b/>
                <w:bCs/>
              </w:rPr>
            </w:pPr>
            <w:r w:rsidRPr="00F42F0E">
              <w:rPr>
                <w:b/>
                <w:bCs/>
              </w:rPr>
              <w:t>Pretendenta piedāvājums</w:t>
            </w:r>
          </w:p>
          <w:p w14:paraId="4261C69B" w14:textId="77777777" w:rsidR="00D85759" w:rsidRPr="00F42F0E" w:rsidRDefault="00D85759" w:rsidP="00A94938">
            <w:pPr>
              <w:jc w:val="center"/>
            </w:pPr>
            <w:r w:rsidRPr="00653121">
              <w:rPr>
                <w:i/>
                <w:iCs/>
              </w:rPr>
              <w:t>(jānorāda atbilstība vai konkrēti tehniskie parametri)</w:t>
            </w:r>
          </w:p>
        </w:tc>
      </w:tr>
      <w:tr w:rsidR="00D85759" w:rsidRPr="00F42F0E" w14:paraId="1E875083" w14:textId="77777777" w:rsidTr="00A94938">
        <w:trPr>
          <w:jc w:val="center"/>
        </w:trPr>
        <w:tc>
          <w:tcPr>
            <w:tcW w:w="2518" w:type="dxa"/>
            <w:shd w:val="clear" w:color="auto" w:fill="auto"/>
          </w:tcPr>
          <w:p w14:paraId="56FC014C" w14:textId="77777777" w:rsidR="00D85759" w:rsidRPr="00F42F0E" w:rsidRDefault="00D85759" w:rsidP="00A94938">
            <w:pPr>
              <w:jc w:val="center"/>
            </w:pPr>
            <w:r w:rsidRPr="00F42F0E">
              <w:t>Iekārta</w:t>
            </w:r>
          </w:p>
        </w:tc>
        <w:tc>
          <w:tcPr>
            <w:tcW w:w="3289" w:type="dxa"/>
            <w:shd w:val="clear" w:color="auto" w:fill="auto"/>
          </w:tcPr>
          <w:p w14:paraId="1CCAB700" w14:textId="77777777" w:rsidR="00D85759" w:rsidRPr="00F42F0E" w:rsidRDefault="00D85759" w:rsidP="00A94938">
            <w:pPr>
              <w:jc w:val="center"/>
            </w:pPr>
            <w:r w:rsidRPr="00F42F0E">
              <w:t>Iekārtai jābūt paredzētai nodrošināt paraugu ņemšanu kanalizācijas notekūdeņiem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2E2E" w14:textId="77777777" w:rsidR="00D85759" w:rsidRPr="00F42F0E" w:rsidRDefault="00D85759" w:rsidP="00A94938">
            <w:pPr>
              <w:jc w:val="center"/>
            </w:pPr>
            <w:r w:rsidRPr="002079AC">
              <w:rPr>
                <w:color w:val="000000"/>
                <w:highlight w:val="lightGray"/>
              </w:rPr>
              <w:t>&lt;…&gt;</w:t>
            </w:r>
          </w:p>
        </w:tc>
      </w:tr>
      <w:tr w:rsidR="00D85759" w:rsidRPr="00F42F0E" w14:paraId="28BA8853" w14:textId="77777777" w:rsidTr="00A94938">
        <w:trPr>
          <w:jc w:val="center"/>
        </w:trPr>
        <w:tc>
          <w:tcPr>
            <w:tcW w:w="2518" w:type="dxa"/>
            <w:shd w:val="clear" w:color="auto" w:fill="auto"/>
          </w:tcPr>
          <w:p w14:paraId="4828751A" w14:textId="77777777" w:rsidR="00D85759" w:rsidRPr="00F42F0E" w:rsidRDefault="00D85759" w:rsidP="00A94938">
            <w:pPr>
              <w:jc w:val="center"/>
            </w:pPr>
            <w:r w:rsidRPr="00F42F0E">
              <w:t>Korpusa materiāls</w:t>
            </w:r>
          </w:p>
        </w:tc>
        <w:tc>
          <w:tcPr>
            <w:tcW w:w="3289" w:type="dxa"/>
            <w:shd w:val="clear" w:color="auto" w:fill="auto"/>
          </w:tcPr>
          <w:p w14:paraId="5321332C" w14:textId="18A3CB38" w:rsidR="00D85759" w:rsidRPr="00F42F0E" w:rsidRDefault="007A0073" w:rsidP="00A94938">
            <w:pPr>
              <w:jc w:val="center"/>
            </w:pPr>
            <w:r w:rsidRPr="007A0073">
              <w:rPr>
                <w:color w:val="0070C0"/>
                <w:shd w:val="clear" w:color="auto" w:fill="FFFFFF"/>
              </w:rPr>
              <w:t>Agresīvas kanalizācijas notekūdeņu gaisa vides un korozijas izturīgs materiāls</w:t>
            </w:r>
            <w:r w:rsidR="002F32CA" w:rsidRPr="0078643C">
              <w:rPr>
                <w:color w:val="0070C0"/>
                <w:shd w:val="clear" w:color="auto" w:fill="FFFFFF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F8D3" w14:textId="77777777" w:rsidR="00D85759" w:rsidRPr="00F42F0E" w:rsidRDefault="00D85759" w:rsidP="00A94938">
            <w:pPr>
              <w:jc w:val="center"/>
            </w:pPr>
            <w:r w:rsidRPr="002079AC">
              <w:rPr>
                <w:color w:val="000000"/>
                <w:highlight w:val="lightGray"/>
              </w:rPr>
              <w:t>&lt;…&gt;</w:t>
            </w:r>
          </w:p>
        </w:tc>
      </w:tr>
      <w:tr w:rsidR="00D85759" w:rsidRPr="00F42F0E" w14:paraId="3D0B4458" w14:textId="77777777" w:rsidTr="00A94938">
        <w:trPr>
          <w:jc w:val="center"/>
        </w:trPr>
        <w:tc>
          <w:tcPr>
            <w:tcW w:w="2518" w:type="dxa"/>
            <w:shd w:val="clear" w:color="auto" w:fill="auto"/>
          </w:tcPr>
          <w:p w14:paraId="170CB18B" w14:textId="77777777" w:rsidR="00D85759" w:rsidRPr="00F42F0E" w:rsidRDefault="00D85759" w:rsidP="00A94938">
            <w:pPr>
              <w:jc w:val="center"/>
            </w:pPr>
            <w:r w:rsidRPr="00F42F0E">
              <w:t>Aizsardzības klase</w:t>
            </w:r>
          </w:p>
        </w:tc>
        <w:tc>
          <w:tcPr>
            <w:tcW w:w="3289" w:type="dxa"/>
            <w:shd w:val="clear" w:color="auto" w:fill="auto"/>
          </w:tcPr>
          <w:p w14:paraId="5D03EFB8" w14:textId="77777777" w:rsidR="00D85759" w:rsidRPr="00F42F0E" w:rsidRDefault="00D85759" w:rsidP="00A94938">
            <w:pPr>
              <w:jc w:val="center"/>
            </w:pPr>
            <w:r w:rsidRPr="00F42F0E">
              <w:t>Ne mazāka IP65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57F5" w14:textId="77777777" w:rsidR="00D85759" w:rsidRPr="00F42F0E" w:rsidRDefault="00D85759" w:rsidP="00A94938">
            <w:pPr>
              <w:jc w:val="center"/>
            </w:pPr>
            <w:r w:rsidRPr="002079AC">
              <w:rPr>
                <w:color w:val="000000"/>
                <w:highlight w:val="lightGray"/>
              </w:rPr>
              <w:t>&lt;…&gt;</w:t>
            </w:r>
          </w:p>
        </w:tc>
      </w:tr>
      <w:tr w:rsidR="00D85759" w:rsidRPr="00F42F0E" w14:paraId="1A287BDA" w14:textId="77777777" w:rsidTr="00A94938">
        <w:trPr>
          <w:jc w:val="center"/>
        </w:trPr>
        <w:tc>
          <w:tcPr>
            <w:tcW w:w="2518" w:type="dxa"/>
            <w:shd w:val="clear" w:color="auto" w:fill="auto"/>
          </w:tcPr>
          <w:p w14:paraId="7449C4FF" w14:textId="77777777" w:rsidR="00D85759" w:rsidRPr="00F42F0E" w:rsidRDefault="00D85759" w:rsidP="00A94938">
            <w:pPr>
              <w:jc w:val="center"/>
            </w:pPr>
            <w:r w:rsidRPr="00F42F0E">
              <w:t>Paraugu ņemšanas  princips</w:t>
            </w:r>
          </w:p>
        </w:tc>
        <w:tc>
          <w:tcPr>
            <w:tcW w:w="3289" w:type="dxa"/>
            <w:shd w:val="clear" w:color="auto" w:fill="auto"/>
          </w:tcPr>
          <w:p w14:paraId="4D177375" w14:textId="77777777" w:rsidR="00D85759" w:rsidRPr="00E51E6B" w:rsidRDefault="00D85759" w:rsidP="00A94938">
            <w:pPr>
              <w:jc w:val="center"/>
            </w:pPr>
            <w:r w:rsidRPr="00E51E6B">
              <w:t xml:space="preserve">Vakuuma tipa sistēma ar augstas veiktspējas vakuuma/spiediena sūkni un vārstu paraugu ņemšanai no stacijas rezervuāra 1/2" PVC pastiprināta </w:t>
            </w:r>
            <w:proofErr w:type="spellStart"/>
            <w:r w:rsidRPr="00E51E6B">
              <w:t>spirālvada</w:t>
            </w:r>
            <w:proofErr w:type="spellEnd"/>
            <w:r w:rsidRPr="00E51E6B">
              <w:t xml:space="preserve"> paraugu ņemšanas līnija, vakuuma noturīga, garums 10m.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1D0F" w14:textId="77777777" w:rsidR="00D85759" w:rsidRPr="00F42F0E" w:rsidRDefault="00D85759" w:rsidP="00A94938">
            <w:pPr>
              <w:jc w:val="center"/>
            </w:pPr>
            <w:r w:rsidRPr="002079AC">
              <w:rPr>
                <w:color w:val="000000"/>
                <w:highlight w:val="lightGray"/>
              </w:rPr>
              <w:t>&lt;…&gt;</w:t>
            </w:r>
          </w:p>
        </w:tc>
      </w:tr>
      <w:tr w:rsidR="00D85759" w:rsidRPr="00F42F0E" w14:paraId="6ABCFEE4" w14:textId="77777777" w:rsidTr="00A94938">
        <w:trPr>
          <w:jc w:val="center"/>
        </w:trPr>
        <w:tc>
          <w:tcPr>
            <w:tcW w:w="2518" w:type="dxa"/>
            <w:shd w:val="clear" w:color="auto" w:fill="auto"/>
          </w:tcPr>
          <w:p w14:paraId="1E2424E7" w14:textId="77777777" w:rsidR="00D85759" w:rsidRPr="00F42F0E" w:rsidRDefault="00D85759" w:rsidP="00A94938">
            <w:pPr>
              <w:jc w:val="center"/>
            </w:pPr>
            <w:r w:rsidRPr="00F42F0E">
              <w:t>Paraugu uzkrāšanas trauki (Pudeles)</w:t>
            </w:r>
          </w:p>
        </w:tc>
        <w:tc>
          <w:tcPr>
            <w:tcW w:w="3289" w:type="dxa"/>
            <w:shd w:val="clear" w:color="auto" w:fill="auto"/>
          </w:tcPr>
          <w:p w14:paraId="6BA86910" w14:textId="77777777" w:rsidR="00D85759" w:rsidRPr="00E51E6B" w:rsidRDefault="00D85759" w:rsidP="00A94938">
            <w:pPr>
              <w:jc w:val="center"/>
            </w:pPr>
            <w:r w:rsidRPr="00E51E6B">
              <w:t>24. gab. x 1 litra PE pudeles ar, sadales plāksni un 12.gab. rezerves 1 litru PE pudeles.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F07" w14:textId="77777777" w:rsidR="00D85759" w:rsidRPr="00F42F0E" w:rsidRDefault="00D85759" w:rsidP="00A94938">
            <w:pPr>
              <w:jc w:val="center"/>
            </w:pPr>
            <w:r w:rsidRPr="002079AC">
              <w:rPr>
                <w:color w:val="000000"/>
                <w:highlight w:val="lightGray"/>
              </w:rPr>
              <w:t>&lt;…&gt;</w:t>
            </w:r>
          </w:p>
        </w:tc>
      </w:tr>
      <w:tr w:rsidR="00D85759" w:rsidRPr="00F42F0E" w14:paraId="40BC7DEB" w14:textId="77777777" w:rsidTr="00A94938">
        <w:trPr>
          <w:jc w:val="center"/>
        </w:trPr>
        <w:tc>
          <w:tcPr>
            <w:tcW w:w="2518" w:type="dxa"/>
            <w:shd w:val="clear" w:color="auto" w:fill="auto"/>
          </w:tcPr>
          <w:p w14:paraId="6F8B5860" w14:textId="77777777" w:rsidR="00D85759" w:rsidRPr="00F42F0E" w:rsidRDefault="00D85759" w:rsidP="00A94938">
            <w:pPr>
              <w:jc w:val="center"/>
            </w:pPr>
            <w:r w:rsidRPr="00F42F0E">
              <w:t>Parauga temperatūras režīms</w:t>
            </w:r>
          </w:p>
        </w:tc>
        <w:tc>
          <w:tcPr>
            <w:tcW w:w="3289" w:type="dxa"/>
            <w:shd w:val="clear" w:color="auto" w:fill="auto"/>
          </w:tcPr>
          <w:p w14:paraId="4FCA5C20" w14:textId="77777777" w:rsidR="00D85759" w:rsidRPr="00F42F0E" w:rsidRDefault="00D85759" w:rsidP="00A94938">
            <w:pPr>
              <w:jc w:val="center"/>
            </w:pPr>
            <w:r w:rsidRPr="00F42F0E">
              <w:t>Ar iebūvētu dzesēšanas sistēmu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1E34" w14:textId="77777777" w:rsidR="00D85759" w:rsidRPr="00F42F0E" w:rsidRDefault="00D85759" w:rsidP="00A94938">
            <w:pPr>
              <w:jc w:val="center"/>
            </w:pPr>
            <w:r w:rsidRPr="002079AC">
              <w:rPr>
                <w:color w:val="000000"/>
                <w:highlight w:val="lightGray"/>
              </w:rPr>
              <w:t>&lt;…&gt;</w:t>
            </w:r>
          </w:p>
        </w:tc>
      </w:tr>
      <w:tr w:rsidR="00D85759" w:rsidRPr="00F42F0E" w14:paraId="2B950720" w14:textId="77777777" w:rsidTr="00A94938">
        <w:trPr>
          <w:jc w:val="center"/>
        </w:trPr>
        <w:tc>
          <w:tcPr>
            <w:tcW w:w="2518" w:type="dxa"/>
            <w:shd w:val="clear" w:color="auto" w:fill="auto"/>
          </w:tcPr>
          <w:p w14:paraId="1A376FB9" w14:textId="77777777" w:rsidR="00D85759" w:rsidRPr="00F42F0E" w:rsidRDefault="00D85759" w:rsidP="00A94938">
            <w:pPr>
              <w:jc w:val="center"/>
            </w:pPr>
            <w:r w:rsidRPr="00F42F0E">
              <w:t>Signālu ievadi un izvadi</w:t>
            </w:r>
          </w:p>
        </w:tc>
        <w:tc>
          <w:tcPr>
            <w:tcW w:w="3289" w:type="dxa"/>
            <w:shd w:val="clear" w:color="auto" w:fill="auto"/>
          </w:tcPr>
          <w:p w14:paraId="5BC5CD65" w14:textId="77777777" w:rsidR="00D85759" w:rsidRPr="00F42F0E" w:rsidRDefault="00D85759" w:rsidP="00A94938">
            <w:pPr>
              <w:jc w:val="center"/>
            </w:pPr>
            <w:r w:rsidRPr="00F42F0E">
              <w:t>DI 2x digitāli</w:t>
            </w:r>
          </w:p>
          <w:p w14:paraId="4E657694" w14:textId="77777777" w:rsidR="00D85759" w:rsidRPr="00F42F0E" w:rsidRDefault="00D85759" w:rsidP="00A94938">
            <w:pPr>
              <w:jc w:val="center"/>
            </w:pPr>
            <w:r w:rsidRPr="00F42F0E">
              <w:t>DO 2x digitāls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F245" w14:textId="77777777" w:rsidR="00D85759" w:rsidRPr="00F42F0E" w:rsidRDefault="00D85759" w:rsidP="00A94938">
            <w:pPr>
              <w:jc w:val="center"/>
            </w:pPr>
            <w:r w:rsidRPr="002079AC">
              <w:rPr>
                <w:color w:val="000000"/>
                <w:highlight w:val="lightGray"/>
              </w:rPr>
              <w:t>&lt;…&gt;</w:t>
            </w:r>
          </w:p>
        </w:tc>
      </w:tr>
      <w:tr w:rsidR="00D85759" w:rsidRPr="00F42F0E" w14:paraId="6E0484B0" w14:textId="77777777" w:rsidTr="00A94938">
        <w:trPr>
          <w:jc w:val="center"/>
        </w:trPr>
        <w:tc>
          <w:tcPr>
            <w:tcW w:w="2518" w:type="dxa"/>
            <w:shd w:val="clear" w:color="auto" w:fill="auto"/>
          </w:tcPr>
          <w:p w14:paraId="0F3F2A19" w14:textId="77777777" w:rsidR="00D85759" w:rsidRPr="00F42F0E" w:rsidRDefault="00D85759" w:rsidP="00A94938">
            <w:pPr>
              <w:jc w:val="center"/>
            </w:pPr>
            <w:r w:rsidRPr="00F42F0E">
              <w:t>Barošanas avots</w:t>
            </w:r>
          </w:p>
        </w:tc>
        <w:tc>
          <w:tcPr>
            <w:tcW w:w="3289" w:type="dxa"/>
            <w:shd w:val="clear" w:color="auto" w:fill="auto"/>
          </w:tcPr>
          <w:p w14:paraId="053EC1E6" w14:textId="77777777" w:rsidR="00D85759" w:rsidRPr="00F42F0E" w:rsidRDefault="00D85759" w:rsidP="00A94938">
            <w:pPr>
              <w:jc w:val="center"/>
            </w:pPr>
            <w:r w:rsidRPr="00F42F0E">
              <w:t>100...240V AC +-10%, 50/60Hz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4C9A" w14:textId="77777777" w:rsidR="00D85759" w:rsidRPr="00F42F0E" w:rsidRDefault="00D85759" w:rsidP="00A94938">
            <w:pPr>
              <w:jc w:val="center"/>
            </w:pPr>
            <w:r w:rsidRPr="002079AC">
              <w:rPr>
                <w:color w:val="000000"/>
                <w:highlight w:val="lightGray"/>
              </w:rPr>
              <w:t>&lt;…&gt;</w:t>
            </w:r>
          </w:p>
        </w:tc>
      </w:tr>
      <w:tr w:rsidR="00D85759" w:rsidRPr="00F42F0E" w14:paraId="54EC497C" w14:textId="77777777" w:rsidTr="00A94938">
        <w:trPr>
          <w:jc w:val="center"/>
        </w:trPr>
        <w:tc>
          <w:tcPr>
            <w:tcW w:w="2518" w:type="dxa"/>
            <w:shd w:val="clear" w:color="auto" w:fill="auto"/>
          </w:tcPr>
          <w:p w14:paraId="3E633E7C" w14:textId="77777777" w:rsidR="00D85759" w:rsidRPr="00F42F0E" w:rsidRDefault="00D85759" w:rsidP="00A94938">
            <w:pPr>
              <w:jc w:val="center"/>
            </w:pPr>
            <w:r w:rsidRPr="00F42F0E">
              <w:t>Iekārtas papildus vadība</w:t>
            </w:r>
          </w:p>
        </w:tc>
        <w:tc>
          <w:tcPr>
            <w:tcW w:w="3289" w:type="dxa"/>
            <w:shd w:val="clear" w:color="auto" w:fill="auto"/>
          </w:tcPr>
          <w:p w14:paraId="00610047" w14:textId="77777777" w:rsidR="00D85759" w:rsidRPr="00F42F0E" w:rsidRDefault="00D85759" w:rsidP="00A94938">
            <w:pPr>
              <w:jc w:val="center"/>
            </w:pPr>
            <w:r w:rsidRPr="00F42F0E">
              <w:t>Iekārtu jābūt savietojamai un iespējai to vadīt arī no ārējās automātiskās vadības sistēmas izmantojot MODBUS RTU RS-485.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667B" w14:textId="77777777" w:rsidR="00D85759" w:rsidRPr="00F42F0E" w:rsidRDefault="00D85759" w:rsidP="00A94938">
            <w:pPr>
              <w:jc w:val="center"/>
            </w:pPr>
            <w:r w:rsidRPr="002079AC">
              <w:rPr>
                <w:color w:val="000000"/>
                <w:highlight w:val="lightGray"/>
              </w:rPr>
              <w:t>&lt;…&gt;</w:t>
            </w:r>
          </w:p>
        </w:tc>
      </w:tr>
      <w:tr w:rsidR="00D85759" w:rsidRPr="00F42F0E" w14:paraId="5D69EE7E" w14:textId="77777777" w:rsidTr="00A94938">
        <w:trPr>
          <w:jc w:val="center"/>
        </w:trPr>
        <w:tc>
          <w:tcPr>
            <w:tcW w:w="2518" w:type="dxa"/>
            <w:shd w:val="clear" w:color="auto" w:fill="auto"/>
          </w:tcPr>
          <w:p w14:paraId="07CC093F" w14:textId="77777777" w:rsidR="00D85759" w:rsidRPr="00F42F0E" w:rsidRDefault="00D85759" w:rsidP="00A94938">
            <w:pPr>
              <w:jc w:val="center"/>
            </w:pPr>
            <w:r w:rsidRPr="00F42F0E">
              <w:t>Paraugu ņēmēja atmiņa</w:t>
            </w:r>
          </w:p>
        </w:tc>
        <w:tc>
          <w:tcPr>
            <w:tcW w:w="3289" w:type="dxa"/>
            <w:shd w:val="clear" w:color="auto" w:fill="auto"/>
          </w:tcPr>
          <w:p w14:paraId="398B5848" w14:textId="77777777" w:rsidR="00D85759" w:rsidRPr="00F42F0E" w:rsidRDefault="00D85759" w:rsidP="00A94938">
            <w:pPr>
              <w:jc w:val="center"/>
            </w:pPr>
            <w:r w:rsidRPr="00F42F0E">
              <w:t>-paraugu statistikas ierakstu žurnāls;</w:t>
            </w:r>
          </w:p>
          <w:p w14:paraId="31C683F2" w14:textId="77777777" w:rsidR="00D85759" w:rsidRPr="00F42F0E" w:rsidRDefault="00D85759" w:rsidP="00A94938">
            <w:pPr>
              <w:jc w:val="center"/>
            </w:pPr>
            <w:r w:rsidRPr="00F42F0E">
              <w:t>-mēraparāta savākto datu un iestatījumu aizsardzība;</w:t>
            </w:r>
          </w:p>
          <w:p w14:paraId="27C0A0D3" w14:textId="77777777" w:rsidR="00D85759" w:rsidRPr="00F42F0E" w:rsidRDefault="00D85759" w:rsidP="00A94938">
            <w:pPr>
              <w:jc w:val="center"/>
            </w:pPr>
            <w:r w:rsidRPr="00F42F0E">
              <w:t xml:space="preserve">- </w:t>
            </w:r>
            <w:proofErr w:type="spellStart"/>
            <w:r w:rsidRPr="00F42F0E">
              <w:t>elektrobarošanas</w:t>
            </w:r>
            <w:proofErr w:type="spellEnd"/>
            <w:r w:rsidRPr="00F42F0E">
              <w:t xml:space="preserve"> pārtraukumu statistika.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8430" w14:textId="77777777" w:rsidR="00D85759" w:rsidRPr="00F42F0E" w:rsidRDefault="00D85759" w:rsidP="00A94938">
            <w:pPr>
              <w:jc w:val="center"/>
            </w:pPr>
            <w:r w:rsidRPr="002079AC">
              <w:rPr>
                <w:color w:val="000000"/>
                <w:highlight w:val="lightGray"/>
              </w:rPr>
              <w:t>&lt;…&gt;</w:t>
            </w:r>
          </w:p>
        </w:tc>
      </w:tr>
      <w:tr w:rsidR="00D85759" w:rsidRPr="00F42F0E" w14:paraId="0E377833" w14:textId="77777777" w:rsidTr="00A94938">
        <w:trPr>
          <w:jc w:val="center"/>
        </w:trPr>
        <w:tc>
          <w:tcPr>
            <w:tcW w:w="2518" w:type="dxa"/>
            <w:shd w:val="clear" w:color="auto" w:fill="auto"/>
          </w:tcPr>
          <w:p w14:paraId="43EF356F" w14:textId="77777777" w:rsidR="00D85759" w:rsidRPr="00F42F0E" w:rsidRDefault="00D85759" w:rsidP="00A94938">
            <w:pPr>
              <w:jc w:val="center"/>
            </w:pPr>
            <w:r w:rsidRPr="00F42F0E">
              <w:t>Paraugu ievākšanas režīmi</w:t>
            </w:r>
          </w:p>
        </w:tc>
        <w:tc>
          <w:tcPr>
            <w:tcW w:w="3289" w:type="dxa"/>
            <w:shd w:val="clear" w:color="auto" w:fill="auto"/>
          </w:tcPr>
          <w:p w14:paraId="4AE1BF1C" w14:textId="77777777" w:rsidR="00D85759" w:rsidRPr="00F42F0E" w:rsidRDefault="00D85759" w:rsidP="00A94938">
            <w:pPr>
              <w:jc w:val="center"/>
            </w:pPr>
            <w:r w:rsidRPr="00F42F0E">
              <w:t>Parauga ņemšana:</w:t>
            </w:r>
          </w:p>
          <w:p w14:paraId="516D8291" w14:textId="77777777" w:rsidR="00D85759" w:rsidRPr="00F42F0E" w:rsidRDefault="00D85759" w:rsidP="00D85759">
            <w:pPr>
              <w:numPr>
                <w:ilvl w:val="0"/>
                <w:numId w:val="2"/>
              </w:numPr>
              <w:ind w:left="357" w:hanging="357"/>
              <w:jc w:val="center"/>
            </w:pPr>
            <w:r w:rsidRPr="00F42F0E">
              <w:t>pēc izvēles;</w:t>
            </w:r>
          </w:p>
          <w:p w14:paraId="7136D601" w14:textId="77777777" w:rsidR="00D85759" w:rsidRPr="00F42F0E" w:rsidRDefault="00D85759" w:rsidP="00D85759">
            <w:pPr>
              <w:numPr>
                <w:ilvl w:val="0"/>
                <w:numId w:val="2"/>
              </w:numPr>
              <w:ind w:left="357" w:hanging="357"/>
              <w:jc w:val="center"/>
            </w:pPr>
            <w:r w:rsidRPr="00F42F0E">
              <w:lastRenderedPageBreak/>
              <w:t>vienreizēja un daudzkārtēja paraugu ņemšana;</w:t>
            </w:r>
          </w:p>
          <w:p w14:paraId="5FBCE2B1" w14:textId="77777777" w:rsidR="00D85759" w:rsidRPr="00F42F0E" w:rsidRDefault="00D85759" w:rsidP="00D85759">
            <w:pPr>
              <w:numPr>
                <w:ilvl w:val="0"/>
                <w:numId w:val="2"/>
              </w:numPr>
              <w:ind w:left="357" w:hanging="357"/>
              <w:jc w:val="center"/>
            </w:pPr>
            <w:r w:rsidRPr="00F42F0E">
              <w:t>laika proporcionāla un plūsmas proporcionāla parauga ņemšana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83BA" w14:textId="77777777" w:rsidR="00D85759" w:rsidRPr="00F42F0E" w:rsidRDefault="00D85759" w:rsidP="00A94938">
            <w:pPr>
              <w:jc w:val="center"/>
            </w:pPr>
            <w:r w:rsidRPr="002079AC">
              <w:rPr>
                <w:color w:val="000000"/>
                <w:highlight w:val="lightGray"/>
              </w:rPr>
              <w:lastRenderedPageBreak/>
              <w:t>&lt;…&gt;</w:t>
            </w:r>
          </w:p>
        </w:tc>
      </w:tr>
      <w:tr w:rsidR="00D85759" w:rsidRPr="00F42F0E" w14:paraId="31143462" w14:textId="77777777" w:rsidTr="00A94938">
        <w:trPr>
          <w:jc w:val="center"/>
        </w:trPr>
        <w:tc>
          <w:tcPr>
            <w:tcW w:w="2518" w:type="dxa"/>
            <w:shd w:val="clear" w:color="auto" w:fill="auto"/>
          </w:tcPr>
          <w:p w14:paraId="010AF94C" w14:textId="77777777" w:rsidR="00D85759" w:rsidRPr="00F42F0E" w:rsidRDefault="00D85759" w:rsidP="00A94938">
            <w:pPr>
              <w:jc w:val="center"/>
            </w:pPr>
            <w:r w:rsidRPr="00F42F0E">
              <w:t>Sertifikāti un normatīvi</w:t>
            </w:r>
          </w:p>
        </w:tc>
        <w:tc>
          <w:tcPr>
            <w:tcW w:w="3289" w:type="dxa"/>
            <w:shd w:val="clear" w:color="auto" w:fill="auto"/>
          </w:tcPr>
          <w:p w14:paraId="1D0A9800" w14:textId="77777777" w:rsidR="00D85759" w:rsidRPr="00F42F0E" w:rsidRDefault="00D85759" w:rsidP="00A94938">
            <w:pPr>
              <w:jc w:val="center"/>
            </w:pPr>
            <w:r w:rsidRPr="00F42F0E">
              <w:t xml:space="preserve">Atbilstība ES standartu un direktīvu prasībām t.sk. EN 61326-1: 2006, </w:t>
            </w:r>
            <w:proofErr w:type="spellStart"/>
            <w:r w:rsidRPr="00F42F0E">
              <w:t>class</w:t>
            </w:r>
            <w:proofErr w:type="spellEnd"/>
            <w:r w:rsidRPr="00F42F0E">
              <w:t xml:space="preserve"> A ražošanai;EN61010-1 aizsardzības klase I,</w:t>
            </w:r>
          </w:p>
          <w:p w14:paraId="3A76051A" w14:textId="77777777" w:rsidR="00D85759" w:rsidRPr="00F42F0E" w:rsidRDefault="00D85759" w:rsidP="00A94938">
            <w:pPr>
              <w:jc w:val="center"/>
            </w:pPr>
            <w:r w:rsidRPr="00F42F0E">
              <w:t>CE marķējums.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9843" w14:textId="77777777" w:rsidR="00D85759" w:rsidRPr="00F42F0E" w:rsidRDefault="00D85759" w:rsidP="00A94938">
            <w:pPr>
              <w:jc w:val="center"/>
            </w:pPr>
            <w:r w:rsidRPr="002079AC">
              <w:rPr>
                <w:color w:val="000000"/>
                <w:highlight w:val="lightGray"/>
              </w:rPr>
              <w:t>&lt;…&gt;</w:t>
            </w:r>
          </w:p>
        </w:tc>
      </w:tr>
    </w:tbl>
    <w:p w14:paraId="6F2A589C" w14:textId="77777777" w:rsidR="00D85759" w:rsidRPr="009C032D" w:rsidRDefault="00D85759" w:rsidP="00D85759">
      <w:pPr>
        <w:pStyle w:val="pf0"/>
        <w:jc w:val="both"/>
      </w:pPr>
      <w:r w:rsidRPr="009B55C2">
        <w:t>Pretendents apliecina, ka Prece ir sertificēta izmantošanai Eiropas Savienības un Latvijas Republikas teritorijā, un t</w:t>
      </w:r>
      <w:r>
        <w:t>ās</w:t>
      </w:r>
      <w:r w:rsidRPr="009B55C2">
        <w:t xml:space="preserve"> ekspluatācija atbilstoši tās uzdevumam un ekspluatācijas noteikumiem nenodarīs materiālu zaudējumu vai kaitējumu cilvēka veselībai vai īpašumam, vai apkārtējai videi</w:t>
      </w:r>
      <w:r>
        <w:t>.</w:t>
      </w:r>
    </w:p>
    <w:p w14:paraId="46963DAD" w14:textId="77777777" w:rsidR="00D85759" w:rsidRPr="00130346" w:rsidRDefault="00D85759" w:rsidP="00D85759">
      <w:pPr>
        <w:jc w:val="both"/>
      </w:pPr>
      <w:r w:rsidRPr="00130346">
        <w:rPr>
          <w:b/>
          <w:bCs/>
        </w:rPr>
        <w:t>Preces piegādes</w:t>
      </w:r>
      <w:r>
        <w:rPr>
          <w:b/>
          <w:bCs/>
        </w:rPr>
        <w:t>, uzstādīšanas, pieslēgšanas un ieregulēšanas</w:t>
      </w:r>
      <w:r w:rsidRPr="00130346">
        <w:rPr>
          <w:b/>
          <w:bCs/>
        </w:rPr>
        <w:t xml:space="preserve"> termiņš</w:t>
      </w:r>
      <w:r w:rsidRPr="00130346">
        <w:t xml:space="preserve"> ir </w:t>
      </w:r>
      <w:r w:rsidRPr="00130346">
        <w:rPr>
          <w:shd w:val="clear" w:color="auto" w:fill="D9D9D9"/>
        </w:rPr>
        <w:t xml:space="preserve">&lt;dienu skaits, kas nav ilgāks par </w:t>
      </w:r>
      <w:r>
        <w:rPr>
          <w:shd w:val="clear" w:color="auto" w:fill="D9D9D9"/>
        </w:rPr>
        <w:t>120</w:t>
      </w:r>
      <w:r w:rsidRPr="00130346">
        <w:rPr>
          <w:shd w:val="clear" w:color="auto" w:fill="D9D9D9"/>
        </w:rPr>
        <w:t xml:space="preserve"> dienām&gt;</w:t>
      </w:r>
      <w:r w:rsidRPr="00130346">
        <w:t xml:space="preserve"> dien</w:t>
      </w:r>
      <w:r>
        <w:t>as</w:t>
      </w:r>
      <w:r w:rsidRPr="00130346">
        <w:t xml:space="preserve"> no </w:t>
      </w:r>
      <w:r w:rsidRPr="00653121">
        <w:t>iepirkuma līguma spēkā stāšanās dienas.</w:t>
      </w:r>
    </w:p>
    <w:p w14:paraId="0CC8E9FF" w14:textId="77777777" w:rsidR="00D85759" w:rsidRPr="00130346" w:rsidRDefault="00D85759" w:rsidP="00D85759">
      <w:pPr>
        <w:jc w:val="both"/>
      </w:pPr>
    </w:p>
    <w:p w14:paraId="12C58E71" w14:textId="77777777" w:rsidR="00D85759" w:rsidRPr="00130346" w:rsidRDefault="00D85759" w:rsidP="00D85759">
      <w:pPr>
        <w:jc w:val="both"/>
      </w:pPr>
      <w:r w:rsidRPr="00130346">
        <w:rPr>
          <w:b/>
          <w:bCs/>
        </w:rPr>
        <w:t>Garantijas t</w:t>
      </w:r>
      <w:r w:rsidRPr="00130346">
        <w:rPr>
          <w:b/>
        </w:rPr>
        <w:t>ermiņš</w:t>
      </w:r>
      <w:r w:rsidRPr="00130346">
        <w:t xml:space="preserve">: </w:t>
      </w:r>
    </w:p>
    <w:p w14:paraId="3FF63E5F" w14:textId="77777777" w:rsidR="00D85759" w:rsidRPr="00130346" w:rsidRDefault="00D85759" w:rsidP="00D85759">
      <w:pPr>
        <w:jc w:val="both"/>
        <w:rPr>
          <w:bCs/>
          <w:i/>
          <w:iCs/>
        </w:rPr>
      </w:pPr>
      <w:r w:rsidRPr="00130346">
        <w:t xml:space="preserve">Garantijas termiņš ir </w:t>
      </w:r>
      <w:r w:rsidRPr="00130346">
        <w:rPr>
          <w:highlight w:val="lightGray"/>
        </w:rPr>
        <w:t xml:space="preserve">&lt;mēnešu skaits, kas nav mazāks </w:t>
      </w:r>
      <w:r w:rsidRPr="00653121">
        <w:rPr>
          <w:highlight w:val="lightGray"/>
        </w:rPr>
        <w:t>par 24 (divdesmit četriem) mēnešiem</w:t>
      </w:r>
      <w:r w:rsidRPr="00130346">
        <w:rPr>
          <w:highlight w:val="lightGray"/>
        </w:rPr>
        <w:t>&gt;</w:t>
      </w:r>
      <w:r w:rsidRPr="00130346">
        <w:t xml:space="preserve"> mēneši, skaitot </w:t>
      </w:r>
      <w:r w:rsidRPr="00130346">
        <w:rPr>
          <w:bCs/>
        </w:rPr>
        <w:t>no Preces piegādi apliecinoša dokumenta abpusējas parakstīšanas dienas.</w:t>
      </w:r>
    </w:p>
    <w:p w14:paraId="64C39AA0" w14:textId="77777777" w:rsidR="00D85759" w:rsidRDefault="00D85759" w:rsidP="00D85759">
      <w:pPr>
        <w:jc w:val="both"/>
        <w:rPr>
          <w:bCs/>
          <w:i/>
          <w:iCs/>
        </w:rPr>
      </w:pPr>
    </w:p>
    <w:p w14:paraId="3F0FDD58" w14:textId="77777777" w:rsidR="00D85759" w:rsidRPr="00402117" w:rsidRDefault="00D85759" w:rsidP="00D85759">
      <w:pPr>
        <w:rPr>
          <w:b/>
        </w:rPr>
      </w:pPr>
      <w:r w:rsidRPr="00402117">
        <w:rPr>
          <w:b/>
        </w:rPr>
        <w:t>Pretendenta piedāvātās Preces tehniskās apkopes 24 (divdesmit četru) mēnešu periodā</w:t>
      </w:r>
    </w:p>
    <w:p w14:paraId="5EAB3E0D" w14:textId="77777777" w:rsidR="00D85759" w:rsidRPr="00402117" w:rsidRDefault="00D85759" w:rsidP="00D85759">
      <w:pPr>
        <w:jc w:val="both"/>
      </w:pPr>
      <w:r w:rsidRPr="00402117">
        <w:t xml:space="preserve">Tehnisko apkopju periodiskums atbilstoši Preces ražotāja noteiktajam: </w:t>
      </w:r>
      <w:r w:rsidRPr="00402117">
        <w:rPr>
          <w:highlight w:val="lightGray"/>
        </w:rPr>
        <w:t>&lt;…&gt;</w:t>
      </w:r>
      <w:r w:rsidRPr="00402117">
        <w:t>.</w:t>
      </w:r>
    </w:p>
    <w:p w14:paraId="6A7864B1" w14:textId="77777777" w:rsidR="00D85759" w:rsidRPr="00402117" w:rsidRDefault="00D85759" w:rsidP="00D85759">
      <w:pPr>
        <w:spacing w:after="60"/>
        <w:jc w:val="both"/>
      </w:pPr>
      <w:r w:rsidRPr="00402117">
        <w:t>Katras tehniskās apkopes laikā veicamie darbi: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2"/>
        <w:gridCol w:w="2415"/>
      </w:tblGrid>
      <w:tr w:rsidR="00D85759" w:rsidRPr="00402117" w14:paraId="53D33DB5" w14:textId="77777777" w:rsidTr="00A94938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27BBD0B0" w14:textId="77777777" w:rsidR="00D85759" w:rsidRPr="00402117" w:rsidRDefault="00D85759" w:rsidP="00A94938">
            <w:pPr>
              <w:jc w:val="center"/>
              <w:rPr>
                <w:rFonts w:cs="Vrinda"/>
                <w:szCs w:val="22"/>
              </w:rPr>
            </w:pPr>
            <w:r w:rsidRPr="00402117">
              <w:rPr>
                <w:rFonts w:cs="Vrinda"/>
                <w:szCs w:val="22"/>
              </w:rPr>
              <w:t>Apkope pēc kārtas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6B41C979" w14:textId="77777777" w:rsidR="00D85759" w:rsidRPr="00402117" w:rsidRDefault="00D85759" w:rsidP="00A94938">
            <w:pPr>
              <w:jc w:val="center"/>
              <w:rPr>
                <w:rFonts w:cs="Vrinda"/>
                <w:szCs w:val="22"/>
              </w:rPr>
            </w:pPr>
            <w:r w:rsidRPr="00402117">
              <w:rPr>
                <w:rFonts w:cs="Vrinda"/>
                <w:szCs w:val="22"/>
              </w:rPr>
              <w:t>Nosacījumi apkopes veikšanai (</w:t>
            </w:r>
            <w:r>
              <w:rPr>
                <w:rFonts w:cs="Vrinda"/>
                <w:szCs w:val="22"/>
              </w:rPr>
              <w:t xml:space="preserve">periods vai </w:t>
            </w:r>
            <w:r w:rsidRPr="00402117">
              <w:rPr>
                <w:rFonts w:cs="Vrinda"/>
                <w:szCs w:val="22"/>
              </w:rPr>
              <w:t>nostrādātās darba stundas</w:t>
            </w:r>
            <w:r>
              <w:rPr>
                <w:rFonts w:cs="Vrinda"/>
                <w:szCs w:val="22"/>
              </w:rPr>
              <w:t>,</w:t>
            </w:r>
            <w:r w:rsidRPr="00402117">
              <w:rPr>
                <w:rFonts w:cs="Vrinda"/>
                <w:szCs w:val="22"/>
              </w:rPr>
              <w:t xml:space="preserve"> vai tml.)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5DB297B" w14:textId="77777777" w:rsidR="00D85759" w:rsidRPr="00402117" w:rsidRDefault="00D85759" w:rsidP="00A94938">
            <w:pPr>
              <w:jc w:val="center"/>
              <w:rPr>
                <w:rFonts w:cs="Vrinda"/>
                <w:szCs w:val="22"/>
              </w:rPr>
            </w:pPr>
            <w:r w:rsidRPr="00402117">
              <w:rPr>
                <w:rFonts w:cs="Vrinda"/>
                <w:szCs w:val="22"/>
              </w:rPr>
              <w:t>Apkopes laikā veicamie darbi</w:t>
            </w:r>
          </w:p>
        </w:tc>
      </w:tr>
      <w:tr w:rsidR="00D85759" w:rsidRPr="00402117" w14:paraId="22831ACD" w14:textId="77777777" w:rsidTr="00A94938">
        <w:trPr>
          <w:jc w:val="center"/>
        </w:trPr>
        <w:tc>
          <w:tcPr>
            <w:tcW w:w="2410" w:type="dxa"/>
            <w:shd w:val="clear" w:color="auto" w:fill="auto"/>
          </w:tcPr>
          <w:p w14:paraId="69F3236A" w14:textId="77777777" w:rsidR="00D85759" w:rsidRPr="00402117" w:rsidRDefault="00D85759" w:rsidP="00A94938">
            <w:pPr>
              <w:jc w:val="center"/>
              <w:rPr>
                <w:rFonts w:cs="Vrinda"/>
                <w:szCs w:val="22"/>
              </w:rPr>
            </w:pPr>
            <w:r w:rsidRPr="00402117">
              <w:rPr>
                <w:rFonts w:cs="Vrinda"/>
                <w:szCs w:val="22"/>
              </w:rPr>
              <w:t>1.</w:t>
            </w:r>
          </w:p>
        </w:tc>
        <w:tc>
          <w:tcPr>
            <w:tcW w:w="3822" w:type="dxa"/>
            <w:shd w:val="clear" w:color="auto" w:fill="auto"/>
          </w:tcPr>
          <w:p w14:paraId="2FA29178" w14:textId="77777777" w:rsidR="00D85759" w:rsidRPr="00402117" w:rsidRDefault="00D85759" w:rsidP="00A94938">
            <w:pPr>
              <w:jc w:val="center"/>
              <w:rPr>
                <w:rFonts w:cs="Vrinda"/>
                <w:szCs w:val="22"/>
                <w:highlight w:val="lightGray"/>
              </w:rPr>
            </w:pPr>
            <w:r w:rsidRPr="00402117">
              <w:rPr>
                <w:rFonts w:cs="Vrinda"/>
                <w:szCs w:val="22"/>
                <w:highlight w:val="lightGray"/>
              </w:rPr>
              <w:t>&lt;…&gt;</w:t>
            </w:r>
          </w:p>
        </w:tc>
        <w:tc>
          <w:tcPr>
            <w:tcW w:w="2415" w:type="dxa"/>
            <w:shd w:val="clear" w:color="auto" w:fill="auto"/>
          </w:tcPr>
          <w:p w14:paraId="0AB37B05" w14:textId="77777777" w:rsidR="00D85759" w:rsidRPr="00402117" w:rsidRDefault="00D85759" w:rsidP="00A94938">
            <w:pPr>
              <w:jc w:val="center"/>
              <w:rPr>
                <w:rFonts w:cs="Vrinda"/>
                <w:szCs w:val="22"/>
                <w:highlight w:val="lightGray"/>
              </w:rPr>
            </w:pPr>
            <w:r w:rsidRPr="00402117">
              <w:rPr>
                <w:rFonts w:cs="Vrinda"/>
                <w:szCs w:val="22"/>
                <w:highlight w:val="lightGray"/>
              </w:rPr>
              <w:t>&lt;…&gt;</w:t>
            </w:r>
          </w:p>
        </w:tc>
      </w:tr>
      <w:tr w:rsidR="00D85759" w:rsidRPr="00402117" w14:paraId="703B5A07" w14:textId="77777777" w:rsidTr="00A94938">
        <w:trPr>
          <w:jc w:val="center"/>
        </w:trPr>
        <w:tc>
          <w:tcPr>
            <w:tcW w:w="2410" w:type="dxa"/>
            <w:shd w:val="clear" w:color="auto" w:fill="auto"/>
          </w:tcPr>
          <w:p w14:paraId="1AA7F5DA" w14:textId="77777777" w:rsidR="00D85759" w:rsidRPr="00402117" w:rsidRDefault="00D85759" w:rsidP="00A94938">
            <w:pPr>
              <w:jc w:val="center"/>
              <w:rPr>
                <w:rFonts w:cs="Vrinda"/>
                <w:szCs w:val="22"/>
              </w:rPr>
            </w:pPr>
            <w:r w:rsidRPr="00402117">
              <w:rPr>
                <w:rFonts w:cs="Vrinda"/>
                <w:szCs w:val="22"/>
              </w:rPr>
              <w:t>2.</w:t>
            </w:r>
          </w:p>
        </w:tc>
        <w:tc>
          <w:tcPr>
            <w:tcW w:w="3822" w:type="dxa"/>
            <w:shd w:val="clear" w:color="auto" w:fill="auto"/>
          </w:tcPr>
          <w:p w14:paraId="388F7BB2" w14:textId="77777777" w:rsidR="00D85759" w:rsidRPr="00402117" w:rsidRDefault="00D85759" w:rsidP="00A94938">
            <w:pPr>
              <w:jc w:val="center"/>
              <w:rPr>
                <w:rFonts w:cs="Vrinda"/>
                <w:szCs w:val="22"/>
                <w:highlight w:val="lightGray"/>
              </w:rPr>
            </w:pPr>
            <w:r w:rsidRPr="00402117">
              <w:rPr>
                <w:rFonts w:cs="Vrinda"/>
                <w:szCs w:val="22"/>
                <w:highlight w:val="lightGray"/>
              </w:rPr>
              <w:t>&lt;…&gt;</w:t>
            </w:r>
          </w:p>
        </w:tc>
        <w:tc>
          <w:tcPr>
            <w:tcW w:w="2415" w:type="dxa"/>
            <w:shd w:val="clear" w:color="auto" w:fill="auto"/>
          </w:tcPr>
          <w:p w14:paraId="73892AC9" w14:textId="77777777" w:rsidR="00D85759" w:rsidRPr="00402117" w:rsidRDefault="00D85759" w:rsidP="00A94938">
            <w:pPr>
              <w:jc w:val="center"/>
              <w:rPr>
                <w:rFonts w:cs="Vrinda"/>
                <w:szCs w:val="22"/>
                <w:highlight w:val="lightGray"/>
              </w:rPr>
            </w:pPr>
            <w:r w:rsidRPr="00402117">
              <w:rPr>
                <w:rFonts w:cs="Vrinda"/>
                <w:szCs w:val="22"/>
                <w:highlight w:val="lightGray"/>
              </w:rPr>
              <w:t>&lt;…&gt;</w:t>
            </w:r>
          </w:p>
        </w:tc>
      </w:tr>
      <w:tr w:rsidR="00D85759" w:rsidRPr="00130346" w14:paraId="35CE93E7" w14:textId="77777777" w:rsidTr="00A94938">
        <w:trPr>
          <w:jc w:val="center"/>
        </w:trPr>
        <w:tc>
          <w:tcPr>
            <w:tcW w:w="2410" w:type="dxa"/>
            <w:shd w:val="clear" w:color="auto" w:fill="auto"/>
          </w:tcPr>
          <w:p w14:paraId="2FF9A5DF" w14:textId="77777777" w:rsidR="00D85759" w:rsidRPr="00402117" w:rsidRDefault="00D85759" w:rsidP="00A94938">
            <w:pPr>
              <w:jc w:val="center"/>
              <w:rPr>
                <w:rFonts w:cs="Vrinda"/>
                <w:szCs w:val="22"/>
              </w:rPr>
            </w:pPr>
            <w:r w:rsidRPr="00402117">
              <w:rPr>
                <w:rFonts w:cs="Vrinda"/>
                <w:szCs w:val="22"/>
                <w:highlight w:val="lightGray"/>
              </w:rPr>
              <w:t>&lt;…&gt;</w:t>
            </w:r>
          </w:p>
        </w:tc>
        <w:tc>
          <w:tcPr>
            <w:tcW w:w="3822" w:type="dxa"/>
            <w:shd w:val="clear" w:color="auto" w:fill="auto"/>
          </w:tcPr>
          <w:p w14:paraId="175D2213" w14:textId="77777777" w:rsidR="00D85759" w:rsidRPr="00402117" w:rsidRDefault="00D85759" w:rsidP="00A94938">
            <w:pPr>
              <w:jc w:val="center"/>
              <w:rPr>
                <w:rFonts w:cs="Vrinda"/>
                <w:szCs w:val="22"/>
                <w:highlight w:val="lightGray"/>
              </w:rPr>
            </w:pPr>
            <w:r w:rsidRPr="00402117">
              <w:rPr>
                <w:rFonts w:cs="Vrinda"/>
                <w:szCs w:val="22"/>
                <w:highlight w:val="lightGray"/>
              </w:rPr>
              <w:t>&lt;…&gt;</w:t>
            </w:r>
          </w:p>
        </w:tc>
        <w:tc>
          <w:tcPr>
            <w:tcW w:w="2415" w:type="dxa"/>
            <w:shd w:val="clear" w:color="auto" w:fill="auto"/>
          </w:tcPr>
          <w:p w14:paraId="6AF0E002" w14:textId="77777777" w:rsidR="00D85759" w:rsidRPr="00402117" w:rsidRDefault="00D85759" w:rsidP="00A94938">
            <w:pPr>
              <w:jc w:val="center"/>
              <w:rPr>
                <w:rFonts w:cs="Vrinda"/>
                <w:szCs w:val="22"/>
                <w:highlight w:val="lightGray"/>
              </w:rPr>
            </w:pPr>
            <w:r w:rsidRPr="00402117">
              <w:rPr>
                <w:rFonts w:cs="Vrinda"/>
                <w:szCs w:val="22"/>
                <w:highlight w:val="lightGray"/>
              </w:rPr>
              <w:t>&lt;…&gt;</w:t>
            </w:r>
          </w:p>
        </w:tc>
      </w:tr>
    </w:tbl>
    <w:p w14:paraId="510CE367" w14:textId="77777777" w:rsidR="00D85759" w:rsidRPr="00130346" w:rsidRDefault="00D85759" w:rsidP="00D85759">
      <w:pPr>
        <w:jc w:val="both"/>
        <w:rPr>
          <w:bCs/>
          <w:i/>
          <w:iCs/>
        </w:rPr>
      </w:pPr>
    </w:p>
    <w:p w14:paraId="767CC221" w14:textId="77777777" w:rsidR="00D85759" w:rsidRPr="00130346" w:rsidRDefault="00D85759" w:rsidP="00D85759">
      <w:pPr>
        <w:contextualSpacing/>
        <w:jc w:val="both"/>
      </w:pPr>
      <w:r w:rsidRPr="00130346">
        <w:rPr>
          <w:b/>
          <w:bCs/>
        </w:rPr>
        <w:t>Pielikumā:</w:t>
      </w:r>
      <w:r w:rsidRPr="00130346">
        <w:t xml:space="preserve"> Preces ražotāja dokumenti, kas apliecina Preces atbilstību šai tehniskajai specifikācijai.</w:t>
      </w:r>
    </w:p>
    <w:p w14:paraId="77D69208" w14:textId="77777777" w:rsidR="00D85759" w:rsidRPr="00130346" w:rsidRDefault="00D85759" w:rsidP="00D85759">
      <w:pPr>
        <w:tabs>
          <w:tab w:val="left" w:pos="426"/>
        </w:tabs>
        <w:jc w:val="both"/>
        <w:rPr>
          <w:bCs/>
        </w:rPr>
      </w:pPr>
    </w:p>
    <w:tbl>
      <w:tblPr>
        <w:tblpPr w:leftFromText="180" w:rightFromText="180" w:vertAnchor="text" w:horzAnchor="margin" w:tblpY="12"/>
        <w:tblW w:w="7905" w:type="dxa"/>
        <w:tblLook w:val="0000" w:firstRow="0" w:lastRow="0" w:firstColumn="0" w:lastColumn="0" w:noHBand="0" w:noVBand="0"/>
      </w:tblPr>
      <w:tblGrid>
        <w:gridCol w:w="7905"/>
      </w:tblGrid>
      <w:tr w:rsidR="00D85759" w:rsidRPr="00130346" w14:paraId="7AC344D8" w14:textId="77777777" w:rsidTr="00A94938">
        <w:tc>
          <w:tcPr>
            <w:tcW w:w="7905" w:type="dxa"/>
          </w:tcPr>
          <w:p w14:paraId="7DAD41D3" w14:textId="77777777" w:rsidR="00D85759" w:rsidRPr="00130346" w:rsidRDefault="00D85759" w:rsidP="00A94938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&lt;Pretendenta nosaukums un reģistrācijas numurs&gt;</w:t>
            </w:r>
          </w:p>
        </w:tc>
      </w:tr>
      <w:tr w:rsidR="00D85759" w:rsidRPr="00130346" w14:paraId="7CB8BDA5" w14:textId="77777777" w:rsidTr="00A94938">
        <w:tc>
          <w:tcPr>
            <w:tcW w:w="7905" w:type="dxa"/>
          </w:tcPr>
          <w:p w14:paraId="303502CA" w14:textId="77777777" w:rsidR="00D85759" w:rsidRPr="00130346" w:rsidRDefault="00D85759" w:rsidP="00A94938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 xml:space="preserve">&lt;Pretendenta </w:t>
            </w:r>
            <w:proofErr w:type="spellStart"/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paraksttiesīgās</w:t>
            </w:r>
            <w:proofErr w:type="spellEnd"/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 xml:space="preserve"> vai pilnvarotās personas vārds, uzvārds, amats&gt;</w:t>
            </w:r>
          </w:p>
        </w:tc>
      </w:tr>
      <w:tr w:rsidR="00D85759" w:rsidRPr="00130346" w14:paraId="64A4F803" w14:textId="77777777" w:rsidTr="00A94938">
        <w:tc>
          <w:tcPr>
            <w:tcW w:w="7905" w:type="dxa"/>
          </w:tcPr>
          <w:p w14:paraId="565060F8" w14:textId="77777777" w:rsidR="00D85759" w:rsidRPr="00130346" w:rsidRDefault="00D85759" w:rsidP="00A94938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&lt;Paraksts&gt;</w:t>
            </w:r>
          </w:p>
        </w:tc>
      </w:tr>
      <w:tr w:rsidR="00D85759" w:rsidRPr="00130346" w14:paraId="439AD139" w14:textId="77777777" w:rsidTr="00A94938">
        <w:tc>
          <w:tcPr>
            <w:tcW w:w="7905" w:type="dxa"/>
          </w:tcPr>
          <w:p w14:paraId="27CB76D7" w14:textId="77777777" w:rsidR="00D85759" w:rsidRPr="00130346" w:rsidRDefault="00D85759" w:rsidP="00A94938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&lt;Datums, vieta&gt;</w:t>
            </w:r>
          </w:p>
        </w:tc>
      </w:tr>
    </w:tbl>
    <w:p w14:paraId="25595D9D" w14:textId="77777777" w:rsidR="00D85759" w:rsidRPr="00130346" w:rsidRDefault="00D85759" w:rsidP="00D85759">
      <w:pPr>
        <w:tabs>
          <w:tab w:val="left" w:pos="426"/>
        </w:tabs>
        <w:ind w:left="426" w:hanging="426"/>
        <w:jc w:val="both"/>
        <w:rPr>
          <w:bCs/>
        </w:rPr>
      </w:pPr>
    </w:p>
    <w:p w14:paraId="706904B5" w14:textId="77777777" w:rsidR="00D85759" w:rsidRPr="00130346" w:rsidRDefault="00D85759" w:rsidP="00D85759">
      <w:pPr>
        <w:tabs>
          <w:tab w:val="left" w:pos="426"/>
        </w:tabs>
        <w:ind w:left="426" w:hanging="426"/>
        <w:jc w:val="both"/>
        <w:rPr>
          <w:bCs/>
        </w:rPr>
      </w:pPr>
    </w:p>
    <w:p w14:paraId="07E68832" w14:textId="77777777" w:rsidR="00D85759" w:rsidRPr="00130346" w:rsidRDefault="00D85759" w:rsidP="00D85759">
      <w:pPr>
        <w:tabs>
          <w:tab w:val="left" w:pos="9720"/>
        </w:tabs>
        <w:jc w:val="both"/>
      </w:pPr>
    </w:p>
    <w:p w14:paraId="3203A422" w14:textId="77777777" w:rsidR="00D85759" w:rsidRPr="00130346" w:rsidRDefault="00D85759" w:rsidP="00D85759">
      <w:pPr>
        <w:jc w:val="both"/>
      </w:pPr>
    </w:p>
    <w:p w14:paraId="01701AEE" w14:textId="77777777" w:rsidR="003463A7" w:rsidRPr="00895F44" w:rsidRDefault="003463A7"/>
    <w:sectPr w:rsidR="003463A7" w:rsidRPr="00895F44" w:rsidSect="0078643C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RimTimes">
    <w:altName w:val="Calibri"/>
    <w:charset w:val="BA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E3694"/>
    <w:multiLevelType w:val="hybridMultilevel"/>
    <w:tmpl w:val="A9A214E4"/>
    <w:lvl w:ilvl="0" w:tplc="191A5A40">
      <w:start w:val="20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216B9A"/>
    <w:multiLevelType w:val="multilevel"/>
    <w:tmpl w:val="C88C1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  <w:sz w:val="24"/>
      </w:rPr>
    </w:lvl>
  </w:abstractNum>
  <w:num w:numId="1" w16cid:durableId="1529491714">
    <w:abstractNumId w:val="1"/>
  </w:num>
  <w:num w:numId="2" w16cid:durableId="4380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59"/>
    <w:rsid w:val="002C6A98"/>
    <w:rsid w:val="002F32CA"/>
    <w:rsid w:val="003463A7"/>
    <w:rsid w:val="0057273F"/>
    <w:rsid w:val="00574A89"/>
    <w:rsid w:val="0058099E"/>
    <w:rsid w:val="0078643C"/>
    <w:rsid w:val="007A0073"/>
    <w:rsid w:val="00884807"/>
    <w:rsid w:val="00895F44"/>
    <w:rsid w:val="00D85759"/>
    <w:rsid w:val="00E8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A7B0"/>
  <w15:chartTrackingRefBased/>
  <w15:docId w15:val="{3F06D13F-DF57-40FE-A8D7-0DFFDCE3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0_Parasts"/>
    <w:qFormat/>
    <w:rsid w:val="00D85759"/>
    <w:pPr>
      <w:spacing w:after="0" w:line="240" w:lineRule="auto"/>
    </w:pPr>
    <w:rPr>
      <w:rFonts w:eastAsia="Times New Roman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85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85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857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857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857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857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857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857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857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85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85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8575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8575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8575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857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857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857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8575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857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85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857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857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85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8575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8575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8575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85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8575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85759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aliases w:val="Header Char1,Header Char Char"/>
    <w:basedOn w:val="Parasts"/>
    <w:link w:val="GalveneRakstz"/>
    <w:uiPriority w:val="99"/>
    <w:rsid w:val="00D85759"/>
    <w:pPr>
      <w:tabs>
        <w:tab w:val="center" w:pos="4320"/>
        <w:tab w:val="right" w:pos="8640"/>
      </w:tabs>
    </w:pPr>
    <w:rPr>
      <w:rFonts w:ascii="RimTimes" w:hAnsi="RimTimes"/>
      <w:sz w:val="28"/>
      <w:szCs w:val="20"/>
      <w:lang w:val="en-GB" w:eastAsia="en-US"/>
    </w:rPr>
  </w:style>
  <w:style w:type="character" w:customStyle="1" w:styleId="GalveneRakstz">
    <w:name w:val="Galvene Rakstz."/>
    <w:aliases w:val="Header Char1 Rakstz.,Header Char Char Rakstz."/>
    <w:basedOn w:val="Noklusjumarindkopasfonts"/>
    <w:link w:val="Galvene"/>
    <w:uiPriority w:val="99"/>
    <w:rsid w:val="00D85759"/>
    <w:rPr>
      <w:rFonts w:ascii="RimTimes" w:eastAsia="Times New Roman" w:hAnsi="RimTimes"/>
      <w:sz w:val="28"/>
      <w:szCs w:val="20"/>
      <w:lang w:val="en-GB"/>
    </w:rPr>
  </w:style>
  <w:style w:type="paragraph" w:customStyle="1" w:styleId="Pielikums">
    <w:name w:val="Pielikums"/>
    <w:basedOn w:val="Pamatteksts"/>
    <w:next w:val="Parasts"/>
    <w:link w:val="PielikumsRakstz"/>
    <w:qFormat/>
    <w:rsid w:val="00D85759"/>
    <w:pPr>
      <w:tabs>
        <w:tab w:val="left" w:pos="360"/>
        <w:tab w:val="left" w:pos="720"/>
      </w:tabs>
      <w:spacing w:after="0"/>
      <w:jc w:val="right"/>
    </w:pPr>
    <w:rPr>
      <w:b/>
      <w:lang w:eastAsia="en-US"/>
    </w:rPr>
  </w:style>
  <w:style w:type="character" w:customStyle="1" w:styleId="PielikumsRakstz">
    <w:name w:val="Pielikums Rakstz."/>
    <w:basedOn w:val="Noklusjumarindkopasfonts"/>
    <w:link w:val="Pielikums"/>
    <w:rsid w:val="00D85759"/>
    <w:rPr>
      <w:rFonts w:eastAsia="Times New Roman"/>
      <w:b/>
    </w:rPr>
  </w:style>
  <w:style w:type="paragraph" w:customStyle="1" w:styleId="pf0">
    <w:name w:val="pf0"/>
    <w:basedOn w:val="Parasts"/>
    <w:rsid w:val="00D85759"/>
    <w:pPr>
      <w:spacing w:before="100" w:beforeAutospacing="1" w:after="100" w:afterAutospacing="1"/>
    </w:pPr>
  </w:style>
  <w:style w:type="paragraph" w:styleId="Pamatteksts">
    <w:name w:val="Body Text"/>
    <w:basedOn w:val="Parasts"/>
    <w:link w:val="PamattekstsRakstz"/>
    <w:uiPriority w:val="99"/>
    <w:semiHidden/>
    <w:unhideWhenUsed/>
    <w:rsid w:val="00D85759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85759"/>
    <w:rPr>
      <w:rFonts w:eastAsia="Times New Roman"/>
      <w:lang w:eastAsia="lv-LV"/>
    </w:rPr>
  </w:style>
  <w:style w:type="paragraph" w:styleId="Prskatjums">
    <w:name w:val="Revision"/>
    <w:hidden/>
    <w:uiPriority w:val="99"/>
    <w:semiHidden/>
    <w:rsid w:val="002F32CA"/>
    <w:pPr>
      <w:spacing w:after="0" w:line="240" w:lineRule="auto"/>
    </w:pPr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2103</Words>
  <Characters>1199</Characters>
  <Application>Microsoft Office Word</Application>
  <DocSecurity>0</DocSecurity>
  <Lines>9</Lines>
  <Paragraphs>6</Paragraphs>
  <ScaleCrop>false</ScaleCrop>
  <Company>Rigas udens SIA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Zaķe</dc:creator>
  <cp:keywords/>
  <dc:description/>
  <cp:lastModifiedBy>Lelde Roze</cp:lastModifiedBy>
  <cp:revision>4</cp:revision>
  <dcterms:created xsi:type="dcterms:W3CDTF">2025-02-19T12:27:00Z</dcterms:created>
  <dcterms:modified xsi:type="dcterms:W3CDTF">2025-02-19T14:30:00Z</dcterms:modified>
</cp:coreProperties>
</file>