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824E04" w:rsidRPr="00D8262E" w14:paraId="0EDEE11B" w14:textId="77777777" w:rsidTr="00C1635F">
        <w:trPr>
          <w:jc w:val="center"/>
        </w:trPr>
        <w:tc>
          <w:tcPr>
            <w:tcW w:w="3652" w:type="dxa"/>
            <w:vAlign w:val="center"/>
          </w:tcPr>
          <w:p w14:paraId="54C5C3E2" w14:textId="77777777" w:rsidR="00824E04" w:rsidRPr="00D8262E" w:rsidRDefault="00824E04" w:rsidP="00C163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Apraksts:</w:t>
            </w:r>
          </w:p>
        </w:tc>
        <w:tc>
          <w:tcPr>
            <w:tcW w:w="6408" w:type="dxa"/>
          </w:tcPr>
          <w:p w14:paraId="41F897A2" w14:textId="77777777" w:rsidR="00824E04" w:rsidRDefault="00824E04" w:rsidP="00C163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DF638" w14:textId="77777777" w:rsidR="00824E04" w:rsidRPr="00D8262E" w:rsidRDefault="00824E04" w:rsidP="00C1635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SIA “Rīgas ūdens” veic tirgus izpēti</w:t>
            </w:r>
          </w:p>
          <w:p w14:paraId="763BB069" w14:textId="77777777" w:rsidR="00824E04" w:rsidRDefault="00824E04" w:rsidP="00C1635F">
            <w:pPr>
              <w:pStyle w:val="Default"/>
              <w:jc w:val="center"/>
              <w:rPr>
                <w:b/>
              </w:rPr>
            </w:pPr>
            <w:r w:rsidRPr="00D8262E">
              <w:rPr>
                <w:b/>
              </w:rPr>
              <w:t xml:space="preserve">“Covid-19 </w:t>
            </w:r>
            <w:proofErr w:type="spellStart"/>
            <w:r w:rsidRPr="00D8262E">
              <w:rPr>
                <w:b/>
              </w:rPr>
              <w:t>Antigen</w:t>
            </w:r>
            <w:proofErr w:type="spellEnd"/>
            <w:r w:rsidRPr="00D8262E">
              <w:rPr>
                <w:b/>
              </w:rPr>
              <w:t xml:space="preserve"> </w:t>
            </w:r>
            <w:r w:rsidRPr="0013085A">
              <w:rPr>
                <w:b/>
              </w:rPr>
              <w:t xml:space="preserve">ātro paškontroles </w:t>
            </w:r>
            <w:r w:rsidRPr="00D8262E">
              <w:rPr>
                <w:b/>
              </w:rPr>
              <w:t>testu piegāde”</w:t>
            </w:r>
          </w:p>
          <w:p w14:paraId="6AEBA5E7" w14:textId="77777777" w:rsidR="00824E04" w:rsidRPr="00D8262E" w:rsidRDefault="00824E04" w:rsidP="00C1635F">
            <w:pPr>
              <w:pStyle w:val="Default"/>
              <w:jc w:val="center"/>
            </w:pPr>
            <w:r>
              <w:rPr>
                <w:b/>
              </w:rPr>
              <w:t>(</w:t>
            </w:r>
            <w:r>
              <w:rPr>
                <w:b/>
                <w:szCs w:val="23"/>
              </w:rPr>
              <w:t>identifikācijas Nr. T.I.23)</w:t>
            </w:r>
          </w:p>
          <w:p w14:paraId="6D486F33" w14:textId="77777777" w:rsidR="00824E04" w:rsidRPr="00D8262E" w:rsidRDefault="00824E04" w:rsidP="00C1635F">
            <w:pPr>
              <w:spacing w:after="0" w:line="20" w:lineRule="atLeast"/>
              <w:ind w:left="-120"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E04" w:rsidRPr="00D8262E" w14:paraId="4F72F6E8" w14:textId="77777777" w:rsidTr="00C1635F">
        <w:trPr>
          <w:jc w:val="center"/>
        </w:trPr>
        <w:tc>
          <w:tcPr>
            <w:tcW w:w="3652" w:type="dxa"/>
            <w:vAlign w:val="center"/>
          </w:tcPr>
          <w:p w14:paraId="176E79BD" w14:textId="77777777" w:rsidR="00824E04" w:rsidRPr="00D8262E" w:rsidRDefault="00824E04" w:rsidP="00C163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 xml:space="preserve">Piedāvājuma iesniegšanas termiņš: </w:t>
            </w:r>
          </w:p>
        </w:tc>
        <w:tc>
          <w:tcPr>
            <w:tcW w:w="6408" w:type="dxa"/>
          </w:tcPr>
          <w:p w14:paraId="04411298" w14:textId="77777777" w:rsidR="00824E04" w:rsidRPr="00D8262E" w:rsidRDefault="00824E04" w:rsidP="00C163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2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2022.gada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1.marts</w:t>
            </w:r>
            <w:r w:rsidRPr="00D8262E">
              <w:rPr>
                <w:rFonts w:ascii="Times New Roman" w:hAnsi="Times New Roman" w:cs="Times New Roman"/>
                <w:b/>
                <w:sz w:val="24"/>
                <w:szCs w:val="24"/>
              </w:rPr>
              <w:t>, plkst.1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26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824E04" w:rsidRPr="00D8262E" w14:paraId="3BC5EF02" w14:textId="77777777" w:rsidTr="00C1635F">
        <w:trPr>
          <w:trHeight w:val="2262"/>
          <w:jc w:val="center"/>
        </w:trPr>
        <w:tc>
          <w:tcPr>
            <w:tcW w:w="3652" w:type="dxa"/>
            <w:vAlign w:val="center"/>
          </w:tcPr>
          <w:p w14:paraId="08770A23" w14:textId="77777777" w:rsidR="00824E04" w:rsidRPr="00D8262E" w:rsidRDefault="00824E04" w:rsidP="00C163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6408" w:type="dxa"/>
          </w:tcPr>
          <w:p w14:paraId="59CC8AC0" w14:textId="77777777" w:rsidR="00824E04" w:rsidRPr="00D8262E" w:rsidRDefault="00824E04" w:rsidP="00C1635F">
            <w:pPr>
              <w:spacing w:after="12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Apsaimniekošanas un resursu pārvaldības daļas nekustamā īpašuma un apsaimniekošanas speciāliste Inga Lutere, e-pasta adrese: </w:t>
            </w:r>
            <w:r w:rsidRPr="00D8262E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>inga.lutere@rigasudens.lv</w:t>
            </w: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, tālr.67088365.</w:t>
            </w:r>
          </w:p>
          <w:p w14:paraId="16F3BDC5" w14:textId="77777777" w:rsidR="00824E04" w:rsidRPr="00D8262E" w:rsidRDefault="00824E04" w:rsidP="00C1635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Kontaktpersona jautājumos par iepirkuma priekšmetu:</w:t>
            </w:r>
          </w:p>
          <w:p w14:paraId="1FC3F620" w14:textId="77777777" w:rsidR="00824E04" w:rsidRPr="00D8262E" w:rsidRDefault="00824E04" w:rsidP="00C1635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E"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Personāla daļas Darba aizsardzības sektora vadītāja Tatjana Jeļistratova, tālr.67088373, e-pasta adrese: </w:t>
            </w:r>
            <w:hyperlink r:id="rId7" w:history="1">
              <w:r w:rsidRPr="00D8262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tatjana.jelistratova@rigasudens.lv</w:t>
              </w:r>
            </w:hyperlink>
            <w:r w:rsidRPr="00D82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6F0136" w14:textId="77777777" w:rsidR="00824E04" w:rsidRPr="00D8262E" w:rsidRDefault="00824E04" w:rsidP="00824E04">
      <w:pPr>
        <w:spacing w:before="60" w:after="0"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 xml:space="preserve">Aicinām Jūs piedalīties tirgus izpētē un līdz </w:t>
      </w:r>
      <w:r w:rsidRPr="00D8262E">
        <w:rPr>
          <w:rFonts w:ascii="Times New Roman" w:hAnsi="Times New Roman" w:cs="Times New Roman"/>
          <w:b/>
          <w:sz w:val="24"/>
          <w:szCs w:val="24"/>
        </w:rPr>
        <w:t xml:space="preserve">2022.gada </w:t>
      </w:r>
      <w:r>
        <w:rPr>
          <w:rFonts w:ascii="Times New Roman" w:hAnsi="Times New Roman" w:cs="Times New Roman"/>
          <w:b/>
          <w:sz w:val="24"/>
          <w:szCs w:val="24"/>
        </w:rPr>
        <w:t>1.martam</w:t>
      </w:r>
      <w:r w:rsidRPr="00D8262E">
        <w:rPr>
          <w:rFonts w:ascii="Times New Roman" w:hAnsi="Times New Roman" w:cs="Times New Roman"/>
          <w:b/>
          <w:sz w:val="24"/>
          <w:szCs w:val="24"/>
        </w:rPr>
        <w:t xml:space="preserve"> plkst.1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8262E">
        <w:rPr>
          <w:rFonts w:ascii="Times New Roman" w:hAnsi="Times New Roman" w:cs="Times New Roman"/>
          <w:b/>
          <w:sz w:val="24"/>
          <w:szCs w:val="24"/>
        </w:rPr>
        <w:t>.00</w:t>
      </w:r>
      <w:r w:rsidRPr="00D826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262E">
        <w:rPr>
          <w:rFonts w:ascii="Times New Roman" w:hAnsi="Times New Roman" w:cs="Times New Roman"/>
          <w:sz w:val="24"/>
          <w:szCs w:val="24"/>
        </w:rPr>
        <w:t xml:space="preserve">nosūtīt savu piedāvājumu uz e-pasta adresi: </w:t>
      </w:r>
      <w:hyperlink r:id="rId8" w:history="1">
        <w:r w:rsidRPr="00D8262E">
          <w:rPr>
            <w:rStyle w:val="Hipersaite"/>
            <w:rFonts w:ascii="Times New Roman" w:hAnsi="Times New Roman" w:cs="Times New Roman"/>
            <w:sz w:val="24"/>
            <w:szCs w:val="24"/>
          </w:rPr>
          <w:t>tirgusizpete@rigasudens.lv</w:t>
        </w:r>
      </w:hyperlink>
      <w:r w:rsidRPr="00D826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8E3428" w14:textId="77777777" w:rsidR="00824E04" w:rsidRPr="00D8262E" w:rsidRDefault="00824E04" w:rsidP="00824E04">
      <w:pPr>
        <w:spacing w:after="0" w:line="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3BD92" w14:textId="77777777" w:rsidR="00824E04" w:rsidRPr="00D8262E" w:rsidRDefault="00824E04" w:rsidP="00824E04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26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IEPIRKUMA PRIEKŠMETS:</w:t>
      </w:r>
    </w:p>
    <w:p w14:paraId="593C581D" w14:textId="77777777" w:rsidR="00824E04" w:rsidRDefault="00824E04" w:rsidP="00824E04">
      <w:pPr>
        <w:pStyle w:val="Bezatstarpm"/>
        <w:tabs>
          <w:tab w:val="left" w:pos="284"/>
        </w:tabs>
        <w:spacing w:after="120"/>
        <w:jc w:val="both"/>
      </w:pPr>
      <w:r w:rsidRPr="00D8262E">
        <w:rPr>
          <w:rFonts w:eastAsiaTheme="minorHAnsi"/>
        </w:rPr>
        <w:t xml:space="preserve">Covid-19 </w:t>
      </w:r>
      <w:r>
        <w:rPr>
          <w:rFonts w:eastAsiaTheme="minorHAnsi"/>
        </w:rPr>
        <w:t>(</w:t>
      </w:r>
      <w:r>
        <w:t>SARS</w:t>
      </w:r>
      <w:r>
        <w:noBreakHyphen/>
        <w:t>CoV</w:t>
      </w:r>
      <w:r>
        <w:noBreakHyphen/>
        <w:t xml:space="preserve">2) vīrusa </w:t>
      </w:r>
      <w:r>
        <w:rPr>
          <w:rFonts w:eastAsiaTheme="minorHAnsi"/>
        </w:rPr>
        <w:t>antigēna</w:t>
      </w:r>
      <w:r w:rsidRPr="00D8262E">
        <w:rPr>
          <w:rFonts w:eastAsiaTheme="minorHAnsi"/>
        </w:rPr>
        <w:t xml:space="preserve"> </w:t>
      </w:r>
      <w:r w:rsidRPr="00F6307E">
        <w:rPr>
          <w:b/>
        </w:rPr>
        <w:t xml:space="preserve"> </w:t>
      </w:r>
      <w:r w:rsidRPr="00540276">
        <w:rPr>
          <w:bCs/>
        </w:rPr>
        <w:t>ātro paškontroles</w:t>
      </w:r>
      <w:r w:rsidRPr="00D8262E">
        <w:rPr>
          <w:rFonts w:eastAsiaTheme="minorHAnsi"/>
        </w:rPr>
        <w:t xml:space="preserve"> testu</w:t>
      </w:r>
      <w:r>
        <w:rPr>
          <w:rFonts w:eastAsiaTheme="minorHAnsi"/>
        </w:rPr>
        <w:t xml:space="preserve"> (turpmāk – Tests)</w:t>
      </w:r>
      <w:r w:rsidRPr="00D8262E">
        <w:rPr>
          <w:rFonts w:eastAsiaTheme="minorHAnsi"/>
        </w:rPr>
        <w:t xml:space="preserve"> iegāde SIA “Rīgas ūdens” vajadzībām</w:t>
      </w:r>
      <w:r w:rsidRPr="00D8262E">
        <w:t xml:space="preserve"> saskaņā ar uzaicinājuma un tā pielikumu prasībām.</w:t>
      </w:r>
    </w:p>
    <w:p w14:paraId="44AC24B3" w14:textId="77777777" w:rsidR="00824E04" w:rsidRPr="00D8262E" w:rsidRDefault="00824E04" w:rsidP="00824E04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26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1B08C72A" w14:textId="77777777" w:rsidR="00824E04" w:rsidRDefault="00824E04" w:rsidP="00824E04">
      <w:pPr>
        <w:pStyle w:val="Sarakstarindkopa"/>
        <w:numPr>
          <w:ilvl w:val="0"/>
          <w:numId w:val="2"/>
        </w:num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4E3CD8">
        <w:rPr>
          <w:rFonts w:ascii="Times New Roman" w:hAnsi="Times New Roman"/>
          <w:sz w:val="24"/>
          <w:szCs w:val="24"/>
          <w:lang w:eastAsia="lv-LV"/>
        </w:rPr>
        <w:t xml:space="preserve">Pretendenta parakstīta tehniskā specifikācija </w:t>
      </w:r>
      <w:r>
        <w:rPr>
          <w:rFonts w:ascii="Times New Roman" w:hAnsi="Times New Roman"/>
          <w:sz w:val="24"/>
          <w:szCs w:val="24"/>
          <w:lang w:eastAsia="lv-LV"/>
        </w:rPr>
        <w:t>–</w:t>
      </w:r>
      <w:r w:rsidRPr="004E3CD8">
        <w:rPr>
          <w:rFonts w:ascii="Times New Roman" w:hAnsi="Times New Roman"/>
          <w:sz w:val="24"/>
          <w:szCs w:val="24"/>
          <w:lang w:eastAsia="lv-LV"/>
        </w:rPr>
        <w:t xml:space="preserve"> finanšu piedāvājums saskaņā ar pielikumu.</w:t>
      </w:r>
    </w:p>
    <w:p w14:paraId="3ACD4B75" w14:textId="77777777" w:rsidR="00824E04" w:rsidRDefault="00824E04" w:rsidP="00824E04">
      <w:pPr>
        <w:pStyle w:val="Sarakstarindkopa"/>
        <w:numPr>
          <w:ilvl w:val="0"/>
          <w:numId w:val="2"/>
        </w:num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13085A">
        <w:rPr>
          <w:rFonts w:ascii="Times New Roman" w:hAnsi="Times New Roman"/>
          <w:sz w:val="24"/>
          <w:szCs w:val="24"/>
          <w:lang w:eastAsia="lv-LV"/>
        </w:rPr>
        <w:t>Atbilstība Eiropas Direktīvas 98/79EK prasībām, EK atbilstības deklarācija.</w:t>
      </w:r>
    </w:p>
    <w:p w14:paraId="70D49FFE" w14:textId="77777777" w:rsidR="00824E04" w:rsidRPr="00941D10" w:rsidRDefault="00824E04" w:rsidP="00824E04">
      <w:pPr>
        <w:pStyle w:val="Sarakstarindkopa"/>
        <w:numPr>
          <w:ilvl w:val="0"/>
          <w:numId w:val="2"/>
        </w:num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941D10">
        <w:rPr>
          <w:rFonts w:ascii="Times New Roman" w:hAnsi="Times New Roman"/>
          <w:sz w:val="24"/>
          <w:szCs w:val="24"/>
          <w:lang w:eastAsia="lv-LV"/>
        </w:rPr>
        <w:t>Paziņotas institūcijas EK sertifikāts.</w:t>
      </w:r>
    </w:p>
    <w:p w14:paraId="280AC0F8" w14:textId="77777777" w:rsidR="00824E04" w:rsidRPr="00941D10" w:rsidRDefault="00824E04" w:rsidP="00824E04">
      <w:pPr>
        <w:pStyle w:val="Sarakstarindkopa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  <w:lang w:eastAsia="lv-LV"/>
        </w:rPr>
      </w:pPr>
      <w:r w:rsidRPr="00941D10">
        <w:rPr>
          <w:rFonts w:ascii="Times New Roman" w:hAnsi="Times New Roman"/>
          <w:sz w:val="24"/>
          <w:szCs w:val="24"/>
          <w:lang w:eastAsia="lv-LV"/>
        </w:rPr>
        <w:t>Tirdzniecības iepakojuma makets vai fotoattēls (atbilstoši MK 28.11.2017. noteikumu Nr.689 “Medicīnisko ierīču reģistrācijas, atbilstības novērtēšanas, izplatīšanas, ekspluatācijas un tehniskās uzraudzības kārtība” 104.p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941D10">
        <w:rPr>
          <w:rFonts w:ascii="Times New Roman" w:hAnsi="Times New Roman"/>
          <w:sz w:val="24"/>
          <w:szCs w:val="24"/>
          <w:lang w:eastAsia="lv-LV"/>
        </w:rPr>
        <w:t xml:space="preserve"> prasībām vai Eiropas Direktīvas 98/79EK 1.pielikuma 84.p prasībām).</w:t>
      </w:r>
    </w:p>
    <w:p w14:paraId="088B7EAC" w14:textId="77777777" w:rsidR="00824E04" w:rsidRPr="00D8262E" w:rsidRDefault="00824E04" w:rsidP="00824E0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8262E">
        <w:rPr>
          <w:rFonts w:ascii="Times New Roman" w:hAnsi="Times New Roman" w:cs="Times New Roman"/>
          <w:b/>
          <w:sz w:val="24"/>
          <w:szCs w:val="24"/>
        </w:rPr>
        <w:t>PIEGĀDES ORGANIZĀCIJA:</w:t>
      </w:r>
    </w:p>
    <w:p w14:paraId="6A874AE6" w14:textId="77777777" w:rsidR="00824E04" w:rsidRPr="0038642D" w:rsidRDefault="00824E04" w:rsidP="0082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 xml:space="preserve">Pretendentam jānodrošina </w:t>
      </w:r>
      <w:r>
        <w:rPr>
          <w:rFonts w:ascii="Times New Roman" w:hAnsi="Times New Roman" w:cs="Times New Roman"/>
          <w:sz w:val="24"/>
          <w:szCs w:val="24"/>
        </w:rPr>
        <w:t>Testu</w:t>
      </w:r>
      <w:r w:rsidRPr="00D8262E">
        <w:rPr>
          <w:rFonts w:ascii="Times New Roman" w:hAnsi="Times New Roman" w:cs="Times New Roman"/>
          <w:sz w:val="24"/>
          <w:szCs w:val="24"/>
        </w:rPr>
        <w:t xml:space="preserve"> piegādes uz adres</w:t>
      </w:r>
      <w:r>
        <w:rPr>
          <w:rFonts w:ascii="Times New Roman" w:hAnsi="Times New Roman" w:cs="Times New Roman"/>
          <w:sz w:val="24"/>
          <w:szCs w:val="24"/>
        </w:rPr>
        <w:t xml:space="preserve">i: </w:t>
      </w:r>
      <w:r w:rsidRPr="0038642D">
        <w:rPr>
          <w:rFonts w:ascii="Times New Roman" w:hAnsi="Times New Roman" w:cs="Times New Roman"/>
          <w:sz w:val="24"/>
          <w:szCs w:val="24"/>
        </w:rPr>
        <w:t>Bauskas iela 209, Rīga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513F28" w14:textId="77777777" w:rsidR="00824E04" w:rsidRPr="00D8262E" w:rsidRDefault="00824E04" w:rsidP="00824E0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Testu</w:t>
      </w:r>
      <w:r w:rsidRPr="00D8262E">
        <w:rPr>
          <w:rFonts w:ascii="Times New Roman" w:hAnsi="Times New Roman" w:cs="Times New Roman"/>
          <w:sz w:val="24"/>
          <w:szCs w:val="24"/>
        </w:rPr>
        <w:t xml:space="preserve"> piegāde tiek veikta atsevišķās partijās saskaņā ar </w:t>
      </w:r>
      <w:r>
        <w:rPr>
          <w:rFonts w:ascii="Times New Roman" w:hAnsi="Times New Roman" w:cs="Times New Roman"/>
          <w:sz w:val="24"/>
          <w:szCs w:val="24"/>
        </w:rPr>
        <w:t>Pasūtītāja</w:t>
      </w:r>
      <w:r w:rsidRPr="00D8262E">
        <w:rPr>
          <w:rFonts w:ascii="Times New Roman" w:hAnsi="Times New Roman" w:cs="Times New Roman"/>
          <w:sz w:val="24"/>
          <w:szCs w:val="24"/>
        </w:rPr>
        <w:t xml:space="preserve"> pasūtījumiem. </w:t>
      </w:r>
      <w:r>
        <w:rPr>
          <w:rFonts w:ascii="Times New Roman" w:hAnsi="Times New Roman" w:cs="Times New Roman"/>
          <w:sz w:val="24"/>
          <w:szCs w:val="24"/>
        </w:rPr>
        <w:t>Testu</w:t>
      </w:r>
      <w:r w:rsidRPr="00D8262E">
        <w:rPr>
          <w:rFonts w:ascii="Times New Roman" w:hAnsi="Times New Roman" w:cs="Times New Roman"/>
          <w:sz w:val="24"/>
          <w:szCs w:val="24"/>
        </w:rPr>
        <w:t xml:space="preserve"> partiju piegāde jāveic ne ilgāk kā 3 (trīs) </w:t>
      </w:r>
      <w:r>
        <w:rPr>
          <w:rFonts w:ascii="Times New Roman" w:hAnsi="Times New Roman" w:cs="Times New Roman"/>
          <w:sz w:val="24"/>
          <w:szCs w:val="24"/>
        </w:rPr>
        <w:t>darba</w:t>
      </w:r>
      <w:r w:rsidRPr="00D8262E">
        <w:rPr>
          <w:rFonts w:ascii="Times New Roman" w:hAnsi="Times New Roman" w:cs="Times New Roman"/>
          <w:sz w:val="24"/>
          <w:szCs w:val="24"/>
        </w:rPr>
        <w:t xml:space="preserve"> dienu laikā no pasūtījuma saņemšanas dienas. </w:t>
      </w:r>
    </w:p>
    <w:p w14:paraId="3EF0C70F" w14:textId="77777777" w:rsidR="00824E04" w:rsidRPr="00D8262E" w:rsidRDefault="00824E04" w:rsidP="00824E0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8262E">
        <w:rPr>
          <w:rFonts w:ascii="Times New Roman" w:hAnsi="Times New Roman" w:cs="Times New Roman"/>
          <w:b/>
          <w:sz w:val="24"/>
          <w:szCs w:val="24"/>
        </w:rPr>
        <w:t>PIEDĀVĀJUMU VĒRTĒŠANA:</w:t>
      </w:r>
    </w:p>
    <w:p w14:paraId="36116902" w14:textId="77777777" w:rsidR="00824E04" w:rsidRPr="00D8262E" w:rsidRDefault="00824E04" w:rsidP="00824E0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>Vērtēšanas rezultātā tiks izvēlēts piedāvājums ar viszemāko cenu.</w:t>
      </w:r>
    </w:p>
    <w:p w14:paraId="54F65468" w14:textId="77777777" w:rsidR="00824E04" w:rsidRPr="00D8262E" w:rsidRDefault="00824E04" w:rsidP="00824E04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D8262E">
        <w:rPr>
          <w:rFonts w:ascii="Times New Roman" w:hAnsi="Times New Roman" w:cs="Times New Roman"/>
          <w:b/>
          <w:sz w:val="24"/>
          <w:szCs w:val="24"/>
        </w:rPr>
        <w:t>LĪGUMA SLĒGŠANA:</w:t>
      </w:r>
    </w:p>
    <w:p w14:paraId="0910FC17" w14:textId="77777777" w:rsidR="00824E04" w:rsidRDefault="00824E04" w:rsidP="00824E04">
      <w:pPr>
        <w:jc w:val="both"/>
        <w:rPr>
          <w:rFonts w:ascii="Times New Roman" w:hAnsi="Times New Roman" w:cs="Times New Roman"/>
          <w:sz w:val="24"/>
          <w:szCs w:val="24"/>
        </w:rPr>
      </w:pPr>
      <w:r w:rsidRPr="00D8262E">
        <w:rPr>
          <w:rFonts w:ascii="Times New Roman" w:hAnsi="Times New Roman" w:cs="Times New Roman"/>
          <w:sz w:val="24"/>
          <w:szCs w:val="24"/>
        </w:rPr>
        <w:t xml:space="preserve">Tirgus izpētes rezultātā SIA “Rīgas ūdens” noslēgs </w:t>
      </w:r>
      <w:r w:rsidRPr="0038642D">
        <w:rPr>
          <w:rFonts w:ascii="Times New Roman" w:hAnsi="Times New Roman" w:cs="Times New Roman"/>
          <w:sz w:val="24"/>
          <w:szCs w:val="24"/>
        </w:rPr>
        <w:t>līgumu ar darbības termiņu līdz 31.12.2022. vai</w:t>
      </w:r>
      <w:r w:rsidRPr="00D8262E">
        <w:rPr>
          <w:rFonts w:ascii="Times New Roman" w:hAnsi="Times New Roman" w:cs="Times New Roman"/>
          <w:sz w:val="24"/>
          <w:szCs w:val="24"/>
        </w:rPr>
        <w:t xml:space="preserve"> līdz līguma summas sasniegšanai, atkarībā no tā, kurš no apstākļiem iestājas pirmais. </w:t>
      </w:r>
    </w:p>
    <w:p w14:paraId="6BA3BDD1" w14:textId="77777777" w:rsidR="00824E04" w:rsidRPr="00D8262E" w:rsidRDefault="00824E04" w:rsidP="00824E04">
      <w:pPr>
        <w:spacing w:after="12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Apmaksas noteikumi – apmaksa par sniegtajiem pakalpojumiem tiks veikta 30 (trīsdesmit) dienu laikā no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preču pavadzīmes</w:t>
      </w:r>
      <w:r w:rsidRPr="00D8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abpusējas parakstīšanas, pamatojoties uz saņemto rēķinu.</w:t>
      </w:r>
    </w:p>
    <w:p w14:paraId="76929CC4" w14:textId="77777777" w:rsidR="00824E04" w:rsidRPr="004E3CD8" w:rsidRDefault="00824E04" w:rsidP="00824E0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62E">
        <w:rPr>
          <w:rFonts w:ascii="Times New Roman" w:hAnsi="Times New Roman" w:cs="Times New Roman"/>
          <w:b/>
          <w:sz w:val="24"/>
          <w:szCs w:val="24"/>
        </w:rPr>
        <w:t>PIELIKUMĀ:</w:t>
      </w:r>
      <w:r w:rsidRPr="004E3CD8">
        <w:rPr>
          <w:rFonts w:ascii="Times New Roman" w:eastAsia="Calibri" w:hAnsi="Times New Roman"/>
          <w:sz w:val="24"/>
          <w:szCs w:val="24"/>
        </w:rPr>
        <w:t xml:space="preserve"> </w:t>
      </w:r>
    </w:p>
    <w:p w14:paraId="7194FCF1" w14:textId="77777777" w:rsidR="00824E04" w:rsidRPr="00941D10" w:rsidRDefault="00824E04" w:rsidP="00824E04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/>
        <w:contextualSpacing/>
        <w:rPr>
          <w:rFonts w:ascii="Times New Roman" w:hAnsi="Times New Roman"/>
          <w:sz w:val="24"/>
          <w:szCs w:val="24"/>
        </w:rPr>
      </w:pPr>
      <w:r w:rsidRPr="00D8262E">
        <w:rPr>
          <w:rFonts w:ascii="Times New Roman" w:eastAsia="Calibri" w:hAnsi="Times New Roman"/>
          <w:sz w:val="24"/>
          <w:szCs w:val="24"/>
        </w:rPr>
        <w:t xml:space="preserve">Pielikums Nr. </w:t>
      </w:r>
      <w:r>
        <w:rPr>
          <w:rFonts w:ascii="Times New Roman" w:eastAsia="Calibri" w:hAnsi="Times New Roman"/>
          <w:sz w:val="24"/>
          <w:szCs w:val="24"/>
        </w:rPr>
        <w:t>1</w:t>
      </w:r>
      <w:r w:rsidRPr="00D8262E">
        <w:rPr>
          <w:rFonts w:ascii="Times New Roman" w:eastAsia="Calibri" w:hAnsi="Times New Roman"/>
          <w:sz w:val="24"/>
          <w:szCs w:val="24"/>
        </w:rPr>
        <w:t xml:space="preserve"> - </w:t>
      </w:r>
      <w:r w:rsidRPr="00D8262E">
        <w:rPr>
          <w:rFonts w:ascii="Times New Roman" w:hAnsi="Times New Roman"/>
          <w:sz w:val="24"/>
          <w:szCs w:val="24"/>
        </w:rPr>
        <w:t xml:space="preserve">Tehniskā specifikācija – finanšu piedāvājuma veidne </w:t>
      </w:r>
      <w:r w:rsidRPr="00D8262E">
        <w:rPr>
          <w:rFonts w:ascii="Times New Roman" w:hAnsi="Times New Roman"/>
          <w:bCs/>
          <w:sz w:val="24"/>
          <w:szCs w:val="24"/>
        </w:rPr>
        <w:t>(</w:t>
      </w:r>
      <w:r w:rsidRPr="00D8262E">
        <w:rPr>
          <w:rFonts w:ascii="Times New Roman" w:hAnsi="Times New Roman"/>
          <w:bCs/>
          <w:i/>
          <w:iCs/>
          <w:sz w:val="24"/>
          <w:szCs w:val="24"/>
        </w:rPr>
        <w:t>MS Excel</w:t>
      </w:r>
      <w:r w:rsidRPr="00D8262E">
        <w:rPr>
          <w:rFonts w:ascii="Times New Roman" w:hAnsi="Times New Roman"/>
          <w:bCs/>
          <w:sz w:val="24"/>
          <w:szCs w:val="24"/>
        </w:rPr>
        <w:t xml:space="preserve"> formāta pielikums) </w:t>
      </w:r>
      <w:r w:rsidRPr="00D8262E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>2</w:t>
      </w:r>
      <w:r w:rsidRPr="00D8262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divām</w:t>
      </w:r>
      <w:r w:rsidRPr="00D8262E">
        <w:rPr>
          <w:rFonts w:ascii="Times New Roman" w:hAnsi="Times New Roman"/>
          <w:sz w:val="24"/>
          <w:szCs w:val="24"/>
        </w:rPr>
        <w:t>) lapām.</w:t>
      </w:r>
      <w:r w:rsidRPr="00941D10">
        <w:rPr>
          <w:rFonts w:ascii="Times New Roman" w:hAnsi="Times New Roman"/>
          <w:b/>
          <w:sz w:val="24"/>
          <w:szCs w:val="24"/>
        </w:rPr>
        <w:br w:type="page"/>
      </w:r>
    </w:p>
    <w:p w14:paraId="7BB89F8F" w14:textId="77777777" w:rsidR="00824E04" w:rsidRPr="00D8262E" w:rsidRDefault="00824E04" w:rsidP="00824E04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26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Pielikums</w:t>
      </w:r>
    </w:p>
    <w:p w14:paraId="74CE3472" w14:textId="77777777" w:rsidR="00824E04" w:rsidRPr="00D8262E" w:rsidRDefault="00824E04" w:rsidP="00824E04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5BEF13A" w14:textId="77777777" w:rsidR="00824E04" w:rsidRDefault="00824E04" w:rsidP="00824E04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26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 – Finanšu piedāvājuma veidne</w:t>
      </w:r>
    </w:p>
    <w:p w14:paraId="293902A2" w14:textId="77777777" w:rsidR="00824E04" w:rsidRDefault="00824E04" w:rsidP="00824E04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B26BC0C" w14:textId="77777777" w:rsidR="00824E04" w:rsidRDefault="00824E04" w:rsidP="00824E0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šo, </w:t>
      </w:r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</w:t>
      </w:r>
      <w:proofErr w:type="spellEnd"/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.&lt;reģistrācijas numurs&gt;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iesniedz piedāvājumu tirgus izpētei “</w:t>
      </w:r>
      <w:r w:rsidRPr="004E3CD8">
        <w:rPr>
          <w:rFonts w:ascii="Times New Roman" w:hAnsi="Times New Roman" w:cs="Times New Roman"/>
          <w:b/>
          <w:sz w:val="24"/>
          <w:szCs w:val="24"/>
        </w:rPr>
        <w:t xml:space="preserve">Covid-19 </w:t>
      </w:r>
      <w:proofErr w:type="spellStart"/>
      <w:r w:rsidRPr="004E3CD8">
        <w:rPr>
          <w:rFonts w:ascii="Times New Roman" w:hAnsi="Times New Roman" w:cs="Times New Roman"/>
          <w:b/>
          <w:sz w:val="24"/>
          <w:szCs w:val="24"/>
        </w:rPr>
        <w:t>Antigen</w:t>
      </w:r>
      <w:proofErr w:type="spellEnd"/>
      <w:r w:rsidRPr="004E3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85A">
        <w:rPr>
          <w:rFonts w:ascii="Times New Roman" w:hAnsi="Times New Roman" w:cs="Times New Roman"/>
          <w:b/>
          <w:sz w:val="24"/>
          <w:szCs w:val="24"/>
        </w:rPr>
        <w:t xml:space="preserve">ātro paškontroles </w:t>
      </w:r>
      <w:r w:rsidRPr="004E3CD8">
        <w:rPr>
          <w:rFonts w:ascii="Times New Roman" w:hAnsi="Times New Roman" w:cs="Times New Roman"/>
          <w:b/>
          <w:sz w:val="24"/>
          <w:szCs w:val="24"/>
        </w:rPr>
        <w:t xml:space="preserve"> testu piegāde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” (turpmāk – Tirgus izpēte) a</w:t>
      </w: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pliecina, ka spēj veikt preču piegādi atbilstoši uzaicinājuma nosacījumiem un  saskaņā ar Tehniskajā specifikācijā – finanšu piedāvājumā  minēto.</w:t>
      </w:r>
    </w:p>
    <w:p w14:paraId="6808DEDD" w14:textId="77777777" w:rsidR="00824E04" w:rsidRDefault="00824E04" w:rsidP="00824E0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589"/>
        <w:gridCol w:w="1270"/>
        <w:gridCol w:w="1701"/>
        <w:gridCol w:w="1252"/>
      </w:tblGrid>
      <w:tr w:rsidR="00824E04" w:rsidRPr="000870D1" w14:paraId="441D826E" w14:textId="77777777" w:rsidTr="00C1635F">
        <w:trPr>
          <w:trHeight w:val="1440"/>
        </w:trPr>
        <w:tc>
          <w:tcPr>
            <w:tcW w:w="3964" w:type="dxa"/>
            <w:shd w:val="clear" w:color="000000" w:fill="DDEBF7"/>
            <w:vAlign w:val="center"/>
            <w:hideMark/>
          </w:tcPr>
          <w:p w14:paraId="375AC191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  <w:t>Komplektācija un tehniskās prasības</w:t>
            </w:r>
          </w:p>
        </w:tc>
        <w:tc>
          <w:tcPr>
            <w:tcW w:w="1589" w:type="dxa"/>
            <w:shd w:val="clear" w:color="000000" w:fill="DDEBF7"/>
            <w:vAlign w:val="center"/>
            <w:hideMark/>
          </w:tcPr>
          <w:p w14:paraId="2FC0A621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  <w:t>Plānotais apjoms (līdz jauna Iepirkuma rezultātiem)*</w:t>
            </w:r>
          </w:p>
        </w:tc>
        <w:tc>
          <w:tcPr>
            <w:tcW w:w="1270" w:type="dxa"/>
            <w:shd w:val="clear" w:color="000000" w:fill="DDEBF7"/>
            <w:vAlign w:val="center"/>
            <w:hideMark/>
          </w:tcPr>
          <w:p w14:paraId="0CB1FA49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  <w:t>Paraugi**</w:t>
            </w:r>
          </w:p>
        </w:tc>
        <w:tc>
          <w:tcPr>
            <w:tcW w:w="1701" w:type="dxa"/>
            <w:shd w:val="clear" w:color="000000" w:fill="DDEBF7"/>
            <w:vAlign w:val="center"/>
            <w:hideMark/>
          </w:tcPr>
          <w:p w14:paraId="22DB8223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  <w:t>Atsauce uz informatīvo materiālu (precīza saite uz ražotāja mājas lapu)</w:t>
            </w:r>
          </w:p>
        </w:tc>
        <w:tc>
          <w:tcPr>
            <w:tcW w:w="1252" w:type="dxa"/>
            <w:shd w:val="clear" w:color="000000" w:fill="DDEBF7"/>
            <w:vAlign w:val="center"/>
            <w:hideMark/>
          </w:tcPr>
          <w:p w14:paraId="5A1C345B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  <w:t>1 vienības (testa) cena EUR***</w:t>
            </w:r>
          </w:p>
          <w:p w14:paraId="07117761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  <w:t>bez PVN</w:t>
            </w:r>
          </w:p>
        </w:tc>
      </w:tr>
      <w:tr w:rsidR="00824E04" w:rsidRPr="000870D1" w14:paraId="0AA2BF35" w14:textId="77777777" w:rsidTr="00C1635F">
        <w:trPr>
          <w:trHeight w:val="288"/>
        </w:trPr>
        <w:tc>
          <w:tcPr>
            <w:tcW w:w="3964" w:type="dxa"/>
            <w:shd w:val="clear" w:color="000000" w:fill="DDEBF7"/>
            <w:vAlign w:val="center"/>
            <w:hideMark/>
          </w:tcPr>
          <w:p w14:paraId="3B2186A9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9" w:type="dxa"/>
            <w:shd w:val="clear" w:color="000000" w:fill="DDEBF7"/>
            <w:vAlign w:val="center"/>
            <w:hideMark/>
          </w:tcPr>
          <w:p w14:paraId="1037CCED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0" w:type="dxa"/>
            <w:shd w:val="clear" w:color="000000" w:fill="DDEBF7"/>
            <w:vAlign w:val="center"/>
            <w:hideMark/>
          </w:tcPr>
          <w:p w14:paraId="47BD572B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000000" w:fill="DDEBF7"/>
            <w:vAlign w:val="center"/>
            <w:hideMark/>
          </w:tcPr>
          <w:p w14:paraId="45C5F9DE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52" w:type="dxa"/>
            <w:shd w:val="clear" w:color="000000" w:fill="DDEBF7"/>
            <w:vAlign w:val="bottom"/>
            <w:hideMark/>
          </w:tcPr>
          <w:p w14:paraId="570F8D0B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824E04" w:rsidRPr="000870D1" w14:paraId="3B1C5ABB" w14:textId="77777777" w:rsidTr="00C1635F">
        <w:trPr>
          <w:trHeight w:val="288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08E106C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3085A">
              <w:rPr>
                <w:b/>
                <w:bCs/>
              </w:rPr>
              <w:t>SARS-CoV-2 ātrais antigēna paškontroles tests</w:t>
            </w:r>
            <w:r w:rsidRPr="00BB0B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1589" w:type="dxa"/>
            <w:vMerge w:val="restart"/>
            <w:shd w:val="clear" w:color="000000" w:fill="FFFFFF"/>
            <w:noWrap/>
            <w:vAlign w:val="center"/>
            <w:hideMark/>
          </w:tcPr>
          <w:p w14:paraId="0518D39C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  <w:t>4 500 gab.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14:paraId="247AA904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14:paraId="10B2D1C7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3726722C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58F6C246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0D87CB6D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2D93DFD4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1CFE8995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6BF0CA21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0F874C40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5484FB41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0CA7DBCF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1EA85CF5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3C02E4CB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  <w:p w14:paraId="561005A7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2" w:type="dxa"/>
            <w:vMerge w:val="restart"/>
            <w:shd w:val="clear" w:color="auto" w:fill="auto"/>
            <w:vAlign w:val="bottom"/>
            <w:hideMark/>
          </w:tcPr>
          <w:p w14:paraId="3FB5C391" w14:textId="77777777" w:rsidR="00824E04" w:rsidRPr="000870D1" w:rsidRDefault="00824E04" w:rsidP="00C163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0870D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824E04" w:rsidRPr="000870D1" w14:paraId="6260A589" w14:textId="77777777" w:rsidTr="00C1635F">
        <w:trPr>
          <w:trHeight w:val="288"/>
        </w:trPr>
        <w:tc>
          <w:tcPr>
            <w:tcW w:w="3964" w:type="dxa"/>
            <w:shd w:val="clear" w:color="auto" w:fill="auto"/>
            <w:vAlign w:val="bottom"/>
          </w:tcPr>
          <w:p w14:paraId="49D19598" w14:textId="77777777" w:rsidR="00824E04" w:rsidRPr="0013085A" w:rsidRDefault="00824E04" w:rsidP="00C1635F">
            <w:pPr>
              <w:pStyle w:val="Vienkrsteksts"/>
              <w:numPr>
                <w:ilvl w:val="0"/>
                <w:numId w:val="4"/>
              </w:numPr>
              <w:tabs>
                <w:tab w:val="left" w:pos="176"/>
              </w:tabs>
              <w:ind w:left="167" w:hanging="167"/>
            </w:pPr>
            <w:r>
              <w:t xml:space="preserve">Paredzēts tiešai un kvalitatīvai SARS-CoV-2 antigēnu pret SARS-CoV-2 noteikšanai (derīgs arī </w:t>
            </w:r>
            <w:proofErr w:type="spellStart"/>
            <w:r>
              <w:t>Omicron</w:t>
            </w:r>
            <w:proofErr w:type="spellEnd"/>
            <w:r>
              <w:t xml:space="preserve"> varianta noteikšanai);</w:t>
            </w:r>
          </w:p>
        </w:tc>
        <w:tc>
          <w:tcPr>
            <w:tcW w:w="1589" w:type="dxa"/>
            <w:vMerge/>
            <w:vAlign w:val="center"/>
          </w:tcPr>
          <w:p w14:paraId="0864C402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0" w:type="dxa"/>
            <w:vMerge/>
            <w:vAlign w:val="center"/>
          </w:tcPr>
          <w:p w14:paraId="1CC047C3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14:paraId="178DBED0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52" w:type="dxa"/>
            <w:vMerge/>
            <w:vAlign w:val="center"/>
          </w:tcPr>
          <w:p w14:paraId="33DDE32B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</w:tr>
      <w:tr w:rsidR="00824E04" w:rsidRPr="000870D1" w14:paraId="5F4A2A26" w14:textId="77777777" w:rsidTr="00C1635F">
        <w:trPr>
          <w:trHeight w:val="288"/>
        </w:trPr>
        <w:tc>
          <w:tcPr>
            <w:tcW w:w="3964" w:type="dxa"/>
            <w:shd w:val="clear" w:color="auto" w:fill="auto"/>
            <w:vAlign w:val="bottom"/>
          </w:tcPr>
          <w:p w14:paraId="30BB6C76" w14:textId="77777777" w:rsidR="00824E04" w:rsidRPr="0013085A" w:rsidRDefault="00824E04" w:rsidP="00C1635F">
            <w:pPr>
              <w:pStyle w:val="Sarakstarindkopa"/>
              <w:numPr>
                <w:ilvl w:val="0"/>
                <w:numId w:val="3"/>
              </w:numPr>
              <w:ind w:left="167" w:hanging="167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13085A">
              <w:t>Vienkārša lietošana bez medicīnas personāla palīdzības;</w:t>
            </w:r>
          </w:p>
        </w:tc>
        <w:tc>
          <w:tcPr>
            <w:tcW w:w="1589" w:type="dxa"/>
            <w:vMerge/>
            <w:vAlign w:val="center"/>
          </w:tcPr>
          <w:p w14:paraId="213CAFBA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0" w:type="dxa"/>
            <w:vMerge/>
            <w:vAlign w:val="center"/>
          </w:tcPr>
          <w:p w14:paraId="302E49A3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14:paraId="7ACBCE99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52" w:type="dxa"/>
            <w:vMerge/>
            <w:vAlign w:val="center"/>
          </w:tcPr>
          <w:p w14:paraId="77C1C25C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</w:tr>
      <w:tr w:rsidR="00824E04" w:rsidRPr="000870D1" w14:paraId="7F4DCF5E" w14:textId="77777777" w:rsidTr="00C1635F">
        <w:trPr>
          <w:trHeight w:val="288"/>
        </w:trPr>
        <w:tc>
          <w:tcPr>
            <w:tcW w:w="3964" w:type="dxa"/>
            <w:shd w:val="clear" w:color="auto" w:fill="auto"/>
            <w:vAlign w:val="bottom"/>
          </w:tcPr>
          <w:p w14:paraId="3B3FCED8" w14:textId="77777777" w:rsidR="00824E04" w:rsidRPr="0013085A" w:rsidRDefault="00824E04" w:rsidP="00C1635F">
            <w:pPr>
              <w:pStyle w:val="Vienkrsteksts"/>
              <w:numPr>
                <w:ilvl w:val="0"/>
                <w:numId w:val="3"/>
              </w:numPr>
              <w:tabs>
                <w:tab w:val="left" w:pos="176"/>
              </w:tabs>
              <w:ind w:left="167" w:hanging="167"/>
            </w:pPr>
            <w:r w:rsidRPr="0013085A">
              <w:t>Vienā iepakojumā jābūt 1 testa veikšanas komplektam, kurā iekļauts:</w:t>
            </w:r>
          </w:p>
          <w:p w14:paraId="19EF028C" w14:textId="77777777" w:rsidR="00824E04" w:rsidRPr="00BB0B5E" w:rsidRDefault="00824E04" w:rsidP="00C1635F">
            <w:pPr>
              <w:pStyle w:val="Vienkrsteksts"/>
              <w:ind w:left="592" w:hanging="425"/>
            </w:pPr>
            <w:r>
              <w:t>3</w:t>
            </w:r>
            <w:r w:rsidRPr="0013085A">
              <w:t>.1. Testa ierīce (atsevišķā folija maisiņā ar mitruma absorbentu);</w:t>
            </w:r>
          </w:p>
          <w:p w14:paraId="014172AE" w14:textId="77777777" w:rsidR="00824E04" w:rsidRPr="0013085A" w:rsidRDefault="00824E04" w:rsidP="00C1635F">
            <w:pPr>
              <w:pStyle w:val="Vienkrsteksts"/>
              <w:ind w:left="592" w:hanging="425"/>
            </w:pPr>
            <w:r>
              <w:t>3</w:t>
            </w:r>
            <w:r w:rsidRPr="00BB0B5E">
              <w:t xml:space="preserve">.2. Mēģene ar jau iepildītu </w:t>
            </w:r>
            <w:proofErr w:type="spellStart"/>
            <w:r w:rsidRPr="00BB0B5E">
              <w:t>buferšķīdumu</w:t>
            </w:r>
            <w:proofErr w:type="spellEnd"/>
            <w:r>
              <w:t xml:space="preserve"> vai mēģene un  </w:t>
            </w:r>
            <w:proofErr w:type="spellStart"/>
            <w:r>
              <w:t>buferšķīdums</w:t>
            </w:r>
            <w:proofErr w:type="spellEnd"/>
            <w:r>
              <w:t xml:space="preserve"> atsevišķi</w:t>
            </w:r>
            <w:r w:rsidRPr="0013085A">
              <w:t>;</w:t>
            </w:r>
          </w:p>
          <w:p w14:paraId="46D92B11" w14:textId="77777777" w:rsidR="00824E04" w:rsidRPr="0013085A" w:rsidRDefault="00824E04" w:rsidP="00C1635F">
            <w:pPr>
              <w:pStyle w:val="Vienkrsteksts"/>
              <w:ind w:left="592" w:hanging="425"/>
            </w:pPr>
            <w:r>
              <w:t>3</w:t>
            </w:r>
            <w:r w:rsidRPr="0013085A">
              <w:t>.3. Mēģenes vāciņš – uzgalis;</w:t>
            </w:r>
          </w:p>
          <w:p w14:paraId="14560B50" w14:textId="77777777" w:rsidR="00824E04" w:rsidRPr="0013085A" w:rsidRDefault="00824E04" w:rsidP="00C1635F">
            <w:pPr>
              <w:pStyle w:val="Vienkrsteksts"/>
              <w:ind w:left="592" w:hanging="425"/>
            </w:pPr>
            <w:r>
              <w:t>3</w:t>
            </w:r>
            <w:r w:rsidRPr="0013085A">
              <w:t>.4. Sterils vates kociņš;</w:t>
            </w:r>
          </w:p>
          <w:p w14:paraId="43FCBCBA" w14:textId="77777777" w:rsidR="00824E04" w:rsidRPr="0013085A" w:rsidRDefault="00824E04" w:rsidP="00C1635F">
            <w:pPr>
              <w:pStyle w:val="Vienkrsteksts"/>
              <w:ind w:left="592" w:hanging="425"/>
            </w:pPr>
            <w:r>
              <w:t>3</w:t>
            </w:r>
            <w:r w:rsidRPr="00BB0B5E">
              <w:t xml:space="preserve">.5. Lietošanas instrukcija </w:t>
            </w:r>
            <w:r w:rsidRPr="00491042">
              <w:t>latviešu valodā.</w:t>
            </w:r>
          </w:p>
        </w:tc>
        <w:tc>
          <w:tcPr>
            <w:tcW w:w="1589" w:type="dxa"/>
            <w:vMerge/>
            <w:vAlign w:val="center"/>
          </w:tcPr>
          <w:p w14:paraId="51E0FC0B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0" w:type="dxa"/>
            <w:vMerge/>
            <w:vAlign w:val="center"/>
          </w:tcPr>
          <w:p w14:paraId="3F320EFC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14:paraId="7E759CFB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52" w:type="dxa"/>
            <w:vMerge/>
            <w:vAlign w:val="center"/>
          </w:tcPr>
          <w:p w14:paraId="0114354F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</w:tr>
      <w:tr w:rsidR="00824E04" w:rsidRPr="000870D1" w14:paraId="232D071E" w14:textId="77777777" w:rsidTr="00C1635F">
        <w:trPr>
          <w:trHeight w:val="288"/>
        </w:trPr>
        <w:tc>
          <w:tcPr>
            <w:tcW w:w="3964" w:type="dxa"/>
            <w:shd w:val="clear" w:color="auto" w:fill="auto"/>
            <w:vAlign w:val="bottom"/>
          </w:tcPr>
          <w:p w14:paraId="671947C7" w14:textId="77777777" w:rsidR="00824E04" w:rsidRPr="0013085A" w:rsidRDefault="00824E04" w:rsidP="00C1635F">
            <w:pPr>
              <w:pStyle w:val="Sarakstarindkopa"/>
              <w:numPr>
                <w:ilvl w:val="0"/>
                <w:numId w:val="3"/>
              </w:numPr>
              <w:ind w:left="309" w:hanging="309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13085A">
              <w:t>Testa jutība ne mazāka kā 9</w:t>
            </w:r>
            <w:r>
              <w:t>0</w:t>
            </w:r>
            <w:r w:rsidRPr="0013085A">
              <w:t>%, specifiskums ne mazāks kā 97%.</w:t>
            </w:r>
          </w:p>
        </w:tc>
        <w:tc>
          <w:tcPr>
            <w:tcW w:w="1589" w:type="dxa"/>
            <w:vMerge/>
            <w:vAlign w:val="center"/>
          </w:tcPr>
          <w:p w14:paraId="4FE3819F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0" w:type="dxa"/>
            <w:vMerge/>
            <w:vAlign w:val="center"/>
          </w:tcPr>
          <w:p w14:paraId="65F092EA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14:paraId="59411943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52" w:type="dxa"/>
            <w:vMerge/>
            <w:vAlign w:val="center"/>
          </w:tcPr>
          <w:p w14:paraId="3172FBA7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</w:tr>
      <w:tr w:rsidR="00824E04" w:rsidRPr="000870D1" w14:paraId="05491ACC" w14:textId="77777777" w:rsidTr="00C1635F">
        <w:trPr>
          <w:trHeight w:val="288"/>
        </w:trPr>
        <w:tc>
          <w:tcPr>
            <w:tcW w:w="3964" w:type="dxa"/>
            <w:shd w:val="clear" w:color="auto" w:fill="auto"/>
            <w:vAlign w:val="bottom"/>
          </w:tcPr>
          <w:p w14:paraId="1176CE63" w14:textId="77777777" w:rsidR="00824E04" w:rsidRPr="0013085A" w:rsidRDefault="00824E04" w:rsidP="00C1635F">
            <w:pPr>
              <w:pStyle w:val="Vienkrsteksts"/>
              <w:numPr>
                <w:ilvl w:val="0"/>
                <w:numId w:val="3"/>
              </w:numPr>
              <w:ind w:left="309" w:hanging="309"/>
            </w:pPr>
            <w:r>
              <w:t>Testa rezultāti nolasāmi pēc 15-20 minūtēm.</w:t>
            </w:r>
          </w:p>
        </w:tc>
        <w:tc>
          <w:tcPr>
            <w:tcW w:w="1589" w:type="dxa"/>
            <w:vMerge/>
            <w:vAlign w:val="center"/>
          </w:tcPr>
          <w:p w14:paraId="15D86031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0" w:type="dxa"/>
            <w:vMerge/>
            <w:vAlign w:val="center"/>
          </w:tcPr>
          <w:p w14:paraId="28EF026E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14:paraId="743D0C80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52" w:type="dxa"/>
            <w:vMerge/>
            <w:vAlign w:val="center"/>
          </w:tcPr>
          <w:p w14:paraId="651582D5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</w:tr>
      <w:tr w:rsidR="00824E04" w:rsidRPr="000870D1" w14:paraId="253DAD8E" w14:textId="77777777" w:rsidTr="00C1635F">
        <w:trPr>
          <w:trHeight w:val="288"/>
        </w:trPr>
        <w:tc>
          <w:tcPr>
            <w:tcW w:w="3964" w:type="dxa"/>
            <w:shd w:val="clear" w:color="auto" w:fill="auto"/>
            <w:vAlign w:val="bottom"/>
          </w:tcPr>
          <w:p w14:paraId="6095A96C" w14:textId="77777777" w:rsidR="00824E04" w:rsidRPr="0013085A" w:rsidRDefault="00824E04" w:rsidP="00C1635F">
            <w:pPr>
              <w:pStyle w:val="Vienkrsteksts"/>
              <w:numPr>
                <w:ilvl w:val="0"/>
                <w:numId w:val="3"/>
              </w:numPr>
              <w:ind w:left="309" w:hanging="309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13085A">
              <w:t xml:space="preserve">Precei ir jābūt CE marķējumam ar paziņotās iestādes numuru (EU </w:t>
            </w:r>
            <w:proofErr w:type="spellStart"/>
            <w:r w:rsidRPr="0013085A">
              <w:t>Notified</w:t>
            </w:r>
            <w:proofErr w:type="spellEnd"/>
            <w:r w:rsidRPr="0013085A">
              <w:t xml:space="preserve"> </w:t>
            </w:r>
            <w:proofErr w:type="spellStart"/>
            <w:r w:rsidRPr="0013085A">
              <w:t>body</w:t>
            </w:r>
            <w:proofErr w:type="spellEnd"/>
            <w:r w:rsidRPr="0013085A">
              <w:t>).</w:t>
            </w:r>
          </w:p>
        </w:tc>
        <w:tc>
          <w:tcPr>
            <w:tcW w:w="1589" w:type="dxa"/>
            <w:vMerge/>
            <w:vAlign w:val="center"/>
          </w:tcPr>
          <w:p w14:paraId="68917F9B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0" w:type="dxa"/>
            <w:vMerge/>
            <w:vAlign w:val="center"/>
          </w:tcPr>
          <w:p w14:paraId="30D94250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14:paraId="19D1CB36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52" w:type="dxa"/>
            <w:vMerge/>
            <w:vAlign w:val="center"/>
          </w:tcPr>
          <w:p w14:paraId="206D896C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</w:tr>
      <w:tr w:rsidR="00824E04" w:rsidRPr="000870D1" w14:paraId="10FFB4F1" w14:textId="77777777" w:rsidTr="00C1635F">
        <w:trPr>
          <w:trHeight w:val="288"/>
        </w:trPr>
        <w:tc>
          <w:tcPr>
            <w:tcW w:w="3964" w:type="dxa"/>
            <w:shd w:val="clear" w:color="auto" w:fill="auto"/>
            <w:vAlign w:val="bottom"/>
          </w:tcPr>
          <w:p w14:paraId="4A37F8B4" w14:textId="77777777" w:rsidR="00824E04" w:rsidRPr="00540276" w:rsidRDefault="00824E04" w:rsidP="00C1635F">
            <w:pPr>
              <w:pStyle w:val="Sarakstarindkopa"/>
              <w:numPr>
                <w:ilvl w:val="0"/>
                <w:numId w:val="3"/>
              </w:numPr>
              <w:ind w:left="318" w:hanging="318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  <w:r w:rsidRPr="0013085A">
              <w:t>Prece ir reģistrēta Latvijā (Latvijas Zāļu aģentūrā) -</w:t>
            </w:r>
            <w:r w:rsidRPr="00540276">
              <w:rPr>
                <w:rFonts w:ascii="Calibri Light" w:eastAsia="Times New Roman" w:hAnsi="Calibri Light" w:cs="Calibri Light"/>
                <w:sz w:val="20"/>
                <w:szCs w:val="20"/>
                <w:lang w:eastAsia="lv-LV"/>
              </w:rPr>
              <w:t xml:space="preserve"> </w:t>
            </w:r>
            <w:r w:rsidRPr="00F3620A">
              <w:rPr>
                <w:rFonts w:cstheme="minorBidi"/>
                <w:szCs w:val="21"/>
              </w:rPr>
              <w:t>LATMED reģistrā.</w:t>
            </w:r>
          </w:p>
        </w:tc>
        <w:tc>
          <w:tcPr>
            <w:tcW w:w="1589" w:type="dxa"/>
            <w:vMerge/>
            <w:vAlign w:val="center"/>
          </w:tcPr>
          <w:p w14:paraId="604CDC3E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0" w:type="dxa"/>
            <w:vMerge/>
            <w:vAlign w:val="center"/>
          </w:tcPr>
          <w:p w14:paraId="7FAA21F8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14:paraId="3CE61311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52" w:type="dxa"/>
            <w:vMerge/>
            <w:vAlign w:val="center"/>
          </w:tcPr>
          <w:p w14:paraId="61764346" w14:textId="77777777" w:rsidR="00824E04" w:rsidRPr="000870D1" w:rsidRDefault="00824E04" w:rsidP="00C16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3CCD333B" w14:textId="77777777" w:rsidR="00824E04" w:rsidRDefault="00824E04" w:rsidP="00824E0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4D72A519" w14:textId="0E053BBD" w:rsidR="00F3620A" w:rsidRDefault="00F3620A" w:rsidP="00F3620A">
      <w:pPr>
        <w:tabs>
          <w:tab w:val="left" w:pos="9390"/>
          <w:tab w:val="left" w:pos="10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*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Plānotais apjoms ir aptuvens un Pasūtītājs negarantē to iegādāties plānotajā apmērā. Pasūtītājam piegādājamo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Testu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apjomi ir atkarīgi no testējamo cilvēku plūsmas, sakarā ar 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Testu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apjomi varētu būt mazāki vai lielāki par Piedāvājumā sākotnēji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noteikto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9D1810C" w14:textId="75509CD2" w:rsidR="00F3620A" w:rsidRDefault="00F3620A" w:rsidP="00F3620A">
      <w:pPr>
        <w:tabs>
          <w:tab w:val="left" w:pos="9390"/>
          <w:tab w:val="left" w:pos="10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7368CA" w14:textId="02F291C9" w:rsidR="00F3620A" w:rsidRDefault="00F3620A" w:rsidP="00F3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**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Nepieciešamības gadījumā Pretendentam var pieprasīt iesniegt tā Tehniskajā piedāvājumā iekļauto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Testu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paraugus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Testu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atbilstības novērtēšanai.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Testu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paraug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 jāiesniedz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orģinālā iepakojumā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10412E2" w14:textId="2D553EA3" w:rsidR="00F3620A" w:rsidRDefault="00F3620A" w:rsidP="00F36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E65CE9" w14:textId="77777777" w:rsidR="00F3620A" w:rsidRDefault="00F3620A" w:rsidP="00F3620A">
      <w:pPr>
        <w:tabs>
          <w:tab w:val="left" w:pos="96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***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>Cena jānorāda vienai vienībai ar diviem cipariem aiz komata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(Ja cena nebūs korekti norādīta, Pasūtītājs ir tiesīgs piedāvāto cenu noapaļot līdz diviem cipariem aiz komata, vadoties pēc matemātikas principiem). </w:t>
      </w:r>
    </w:p>
    <w:p w14:paraId="3A50B048" w14:textId="40870F11" w:rsidR="00F3620A" w:rsidRDefault="00F3620A" w:rsidP="00F3620A">
      <w:pPr>
        <w:tabs>
          <w:tab w:val="left" w:pos="96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Pretendentam piedāvātajā cenā jāiekļauj visas ar preču piegādi saistītās izmaksas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09D210C" w14:textId="77777777" w:rsidR="00F3620A" w:rsidRDefault="00F3620A" w:rsidP="00F3620A">
      <w:pPr>
        <w:tabs>
          <w:tab w:val="left" w:pos="9390"/>
          <w:tab w:val="left" w:pos="10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3AB64F" w14:textId="0A506531" w:rsidR="00984C37" w:rsidRDefault="00F3620A" w:rsidP="00F3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7CD7">
        <w:rPr>
          <w:rFonts w:ascii="Times New Roman" w:eastAsia="Times New Roman" w:hAnsi="Times New Roman" w:cs="Times New Roman"/>
          <w:sz w:val="24"/>
          <w:szCs w:val="24"/>
          <w:lang w:eastAsia="lv-LV"/>
        </w:rPr>
        <w:t>Testu pārvadāšanai un uzglabāšanai ievērot ražotāja norādījumus, tai skaitā ievērot noteikto temperatūras režīmu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946D0F5" w14:textId="3CCB2946" w:rsidR="00F3620A" w:rsidRDefault="00F3620A" w:rsidP="00F3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E1CF2C" w14:textId="0B1D50DA" w:rsidR="00F3620A" w:rsidRPr="00F3620A" w:rsidRDefault="00F3620A" w:rsidP="00F3620A">
      <w:pPr>
        <w:pStyle w:val="Sarakstarindkopa"/>
        <w:numPr>
          <w:ilvl w:val="0"/>
          <w:numId w:val="4"/>
        </w:numPr>
        <w:tabs>
          <w:tab w:val="left" w:pos="284"/>
        </w:tabs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620A">
        <w:rPr>
          <w:rFonts w:ascii="Times New Roman" w:eastAsia="Times New Roman" w:hAnsi="Times New Roman"/>
          <w:sz w:val="24"/>
          <w:szCs w:val="24"/>
          <w:lang w:eastAsia="lv-LV"/>
        </w:rPr>
        <w:t xml:space="preserve">Preces piegādes termiņš: </w:t>
      </w:r>
      <w:r w:rsidRPr="00F3620A">
        <w:rPr>
          <w:rFonts w:ascii="Times New Roman" w:eastAsia="Times New Roman" w:hAnsi="Times New Roman"/>
          <w:sz w:val="24"/>
          <w:szCs w:val="24"/>
          <w:highlight w:val="lightGray"/>
          <w:lang w:eastAsia="lv-LV"/>
        </w:rPr>
        <w:t>&lt;dienu skaits</w:t>
      </w:r>
      <w:r w:rsidRPr="00F3620A">
        <w:rPr>
          <w:rFonts w:ascii="Times New Roman" w:eastAsia="Times New Roman" w:hAnsi="Times New Roman"/>
          <w:sz w:val="24"/>
          <w:szCs w:val="24"/>
          <w:lang w:eastAsia="lv-LV"/>
        </w:rPr>
        <w:t>&gt; (ne ilgāk kā 3 (trīs) darba dienu laikā) no pasūtījuma saņemšanas dienas.</w:t>
      </w:r>
    </w:p>
    <w:p w14:paraId="07D5867B" w14:textId="77777777" w:rsidR="00F3620A" w:rsidRPr="004E3CD8" w:rsidRDefault="00F3620A" w:rsidP="00F3620A">
      <w:pPr>
        <w:widowControl w:val="0"/>
        <w:numPr>
          <w:ilvl w:val="0"/>
          <w:numId w:val="4"/>
        </w:numPr>
        <w:tabs>
          <w:tab w:val="left" w:pos="284"/>
        </w:tabs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Apmaksas noteikumi: 30 (trīsdesmit) dienas pēc Preces piegādes apliecinošu dokumentu parakstīšanas.</w:t>
      </w:r>
    </w:p>
    <w:p w14:paraId="2594D8B4" w14:textId="77777777" w:rsidR="00F3620A" w:rsidRPr="004E3CD8" w:rsidRDefault="00F3620A" w:rsidP="00F3620A">
      <w:pPr>
        <w:widowControl w:val="0"/>
        <w:numPr>
          <w:ilvl w:val="0"/>
          <w:numId w:val="4"/>
        </w:numPr>
        <w:tabs>
          <w:tab w:val="left" w:pos="284"/>
        </w:tabs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ka:</w:t>
      </w:r>
    </w:p>
    <w:p w14:paraId="5A4A37D2" w14:textId="77777777" w:rsidR="00F3620A" w:rsidRPr="004E3CD8" w:rsidRDefault="00F3620A" w:rsidP="00F3620A">
      <w:pPr>
        <w:widowControl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4.1. visa Tirgus izpētei iesniegtā informācija ir patiesa;</w:t>
      </w:r>
    </w:p>
    <w:p w14:paraId="6C4C6999" w14:textId="77777777" w:rsidR="00F3620A" w:rsidRPr="004E3CD8" w:rsidRDefault="00F3620A" w:rsidP="00F3620A">
      <w:pPr>
        <w:widowControl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4.2. uz </w:t>
      </w:r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neattiecas Sabiedrisko pakalpojumu sniedzēju iepirkumu likuma 48.panta pirmās daļas izslēgšanas nosacījumi;</w:t>
      </w:r>
    </w:p>
    <w:p w14:paraId="4A7C0B84" w14:textId="77777777" w:rsidR="00F3620A" w:rsidRPr="004E3CD8" w:rsidRDefault="00F3620A" w:rsidP="00F3620A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Tirgus izpētes uzaicinājuma prasības un nosacījumi ir skaidri un saprotami;</w:t>
      </w:r>
    </w:p>
    <w:p w14:paraId="13D2A764" w14:textId="77777777" w:rsidR="00F3620A" w:rsidRPr="004E3CD8" w:rsidRDefault="00F3620A" w:rsidP="00F3620A">
      <w:pPr>
        <w:widowControl w:val="0"/>
        <w:numPr>
          <w:ilvl w:val="1"/>
          <w:numId w:val="6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</w:t>
      </w:r>
      <w:r w:rsidRPr="004E3C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spēj veikt Preces piegādi saskaņā ar minēto tehnisko specifikāciju un nodrošināt Preces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derīguma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termiņu tādu, kādu ir noteicis ražotājs, </w:t>
      </w:r>
      <w:r w:rsidRPr="0038642D">
        <w:rPr>
          <w:rFonts w:ascii="Times New Roman" w:eastAsia="Times New Roman" w:hAnsi="Times New Roman" w:cs="Times New Roman"/>
          <w:sz w:val="24"/>
          <w:szCs w:val="24"/>
          <w:lang w:eastAsia="lv-LV"/>
        </w:rPr>
        <w:t>bet ne mazāks kā 12 (divpadsmit) mēnešus no p</w:t>
      </w: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iegādes dienas apliecinošu dokumentu parakstīšanas;</w:t>
      </w:r>
    </w:p>
    <w:p w14:paraId="136C520A" w14:textId="77777777" w:rsidR="00F3620A" w:rsidRPr="004E3CD8" w:rsidRDefault="00F3620A" w:rsidP="00F3620A">
      <w:pPr>
        <w:widowControl w:val="0"/>
        <w:numPr>
          <w:ilvl w:val="1"/>
          <w:numId w:val="6"/>
        </w:numPr>
        <w:tabs>
          <w:tab w:val="left" w:pos="426"/>
          <w:tab w:val="left" w:pos="993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šī piedāvājuma derīguma termiņš ir 60 (sešdesmit) dienas skaitot no piedāvājumu iesniegšanas termiņa beigu datuma.</w:t>
      </w:r>
    </w:p>
    <w:p w14:paraId="3D9411A4" w14:textId="77777777" w:rsidR="00F3620A" w:rsidRPr="004E3CD8" w:rsidRDefault="00F3620A" w:rsidP="00F3620A">
      <w:pPr>
        <w:widowControl w:val="0"/>
        <w:numPr>
          <w:ilvl w:val="0"/>
          <w:numId w:val="6"/>
        </w:num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>Esam iepazinušies ar informāciju, kas nepieciešama piedāvājuma sagatavošanai un Tirgus izpētes uzaicinājumā norādītās preces piegādei.</w:t>
      </w:r>
    </w:p>
    <w:p w14:paraId="74758968" w14:textId="77777777" w:rsidR="00F3620A" w:rsidRPr="004E3CD8" w:rsidRDefault="00F3620A" w:rsidP="00F3620A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 kontaktpersona: </w:t>
      </w: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</w:t>
      </w:r>
      <w:r w:rsidRPr="004E3CD8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lv-LV"/>
        </w:rPr>
        <w:t>vārds, uzvārds, amats, tālrunis, e-pasta adrese</w:t>
      </w: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).</w:t>
      </w:r>
    </w:p>
    <w:p w14:paraId="5C2549E6" w14:textId="77777777" w:rsidR="00F3620A" w:rsidRPr="004E3CD8" w:rsidRDefault="00F3620A" w:rsidP="00F3620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1D90E4C8" w14:textId="77777777" w:rsidR="00F3620A" w:rsidRPr="004E3CD8" w:rsidRDefault="00F3620A" w:rsidP="00F3620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5AA59988" w14:textId="77777777" w:rsidR="00F3620A" w:rsidRPr="004E3CD8" w:rsidRDefault="00F3620A" w:rsidP="00F362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Pielikumā: </w:t>
      </w:r>
      <w:r w:rsidRPr="004E3CD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Tehniskā specifikācija – finanšu piedāvājums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1DFFDE2F" w14:textId="77777777" w:rsidR="00F3620A" w:rsidRPr="004E3CD8" w:rsidRDefault="00F3620A" w:rsidP="00F3620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182"/>
        <w:tblW w:w="9606" w:type="dxa"/>
        <w:tblLook w:val="04A0" w:firstRow="1" w:lastRow="0" w:firstColumn="1" w:lastColumn="0" w:noHBand="0" w:noVBand="1"/>
      </w:tblPr>
      <w:tblGrid>
        <w:gridCol w:w="5070"/>
        <w:gridCol w:w="1430"/>
        <w:gridCol w:w="3106"/>
      </w:tblGrid>
      <w:tr w:rsidR="00F3620A" w:rsidRPr="004E3CD8" w14:paraId="6B3605B5" w14:textId="77777777" w:rsidTr="00C1635F">
        <w:tc>
          <w:tcPr>
            <w:tcW w:w="5070" w:type="dxa"/>
            <w:hideMark/>
          </w:tcPr>
          <w:p w14:paraId="7BFB7A80" w14:textId="77777777" w:rsidR="00F3620A" w:rsidRPr="004E3CD8" w:rsidRDefault="00F3620A" w:rsidP="00C1635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978100" w14:textId="77777777" w:rsidR="00F3620A" w:rsidRPr="004E3CD8" w:rsidRDefault="00F3620A" w:rsidP="00C1635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3CCA9F" w14:textId="77777777" w:rsidR="00F3620A" w:rsidRPr="004E3CD8" w:rsidRDefault="00F3620A" w:rsidP="00C1635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620A" w:rsidRPr="004E3CD8" w14:paraId="099BC880" w14:textId="77777777" w:rsidTr="00C1635F">
        <w:tc>
          <w:tcPr>
            <w:tcW w:w="5070" w:type="dxa"/>
            <w:hideMark/>
          </w:tcPr>
          <w:p w14:paraId="1285E9B1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62E55F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063E96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620A" w:rsidRPr="004E3CD8" w14:paraId="7101876B" w14:textId="77777777" w:rsidTr="00C1635F">
        <w:tc>
          <w:tcPr>
            <w:tcW w:w="5070" w:type="dxa"/>
            <w:hideMark/>
          </w:tcPr>
          <w:p w14:paraId="38679F55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5848A2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E75701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620A" w:rsidRPr="004E3CD8" w14:paraId="6F44AA84" w14:textId="77777777" w:rsidTr="00C1635F">
        <w:tc>
          <w:tcPr>
            <w:tcW w:w="5070" w:type="dxa"/>
            <w:hideMark/>
          </w:tcPr>
          <w:p w14:paraId="62B50DB4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DB99B7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A4EDD4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620A" w:rsidRPr="004E3CD8" w14:paraId="7271C5CF" w14:textId="77777777" w:rsidTr="00C1635F">
        <w:tc>
          <w:tcPr>
            <w:tcW w:w="5070" w:type="dxa"/>
            <w:hideMark/>
          </w:tcPr>
          <w:p w14:paraId="384E7540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F4F649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9926C9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620A" w:rsidRPr="004E3CD8" w14:paraId="62EE6524" w14:textId="77777777" w:rsidTr="00C1635F">
        <w:trPr>
          <w:trHeight w:val="409"/>
        </w:trPr>
        <w:tc>
          <w:tcPr>
            <w:tcW w:w="5070" w:type="dxa"/>
            <w:hideMark/>
          </w:tcPr>
          <w:p w14:paraId="11BE7968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445123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E99B0E" w14:textId="77777777" w:rsidR="00F3620A" w:rsidRPr="004E3CD8" w:rsidRDefault="00F3620A" w:rsidP="00C1635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EAAF60F" w14:textId="77777777" w:rsidR="00F3620A" w:rsidRPr="004E3CD8" w:rsidRDefault="00F3620A" w:rsidP="00F3620A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FAE9171" w14:textId="77777777" w:rsidR="00F3620A" w:rsidRPr="004E3CD8" w:rsidRDefault="00F3620A" w:rsidP="00F3620A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70E566B" w14:textId="77777777" w:rsidR="00F3620A" w:rsidRPr="004E3CD8" w:rsidRDefault="00F3620A" w:rsidP="00F3620A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C1633D1" w14:textId="77777777" w:rsidR="00F3620A" w:rsidRPr="004E3CD8" w:rsidRDefault="00F3620A" w:rsidP="00F3620A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C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Piezīme: Pretendenta rekvizīti var būt norādīti uz Pretendenta veidlapas.</w:t>
      </w:r>
    </w:p>
    <w:p w14:paraId="5ACEB6CF" w14:textId="77777777" w:rsidR="00F3620A" w:rsidRPr="004E3CD8" w:rsidRDefault="00F3620A" w:rsidP="00F3620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74813E4" w14:textId="77777777" w:rsidR="00F3620A" w:rsidRPr="00D8262E" w:rsidRDefault="00F3620A" w:rsidP="00F3620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8FB318E" w14:textId="77777777" w:rsidR="00F3620A" w:rsidRPr="00F3620A" w:rsidRDefault="00F3620A" w:rsidP="00F3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F3620A" w:rsidRPr="00F3620A" w:rsidSect="00824E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E035" w14:textId="77777777" w:rsidR="004F295A" w:rsidRDefault="004F295A" w:rsidP="00824E04">
      <w:pPr>
        <w:spacing w:after="0" w:line="240" w:lineRule="auto"/>
      </w:pPr>
      <w:r>
        <w:separator/>
      </w:r>
    </w:p>
  </w:endnote>
  <w:endnote w:type="continuationSeparator" w:id="0">
    <w:p w14:paraId="3095EA5B" w14:textId="77777777" w:rsidR="004F295A" w:rsidRDefault="004F295A" w:rsidP="0082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3CC8" w14:textId="77777777" w:rsidR="004F295A" w:rsidRDefault="004F295A" w:rsidP="00824E04">
      <w:pPr>
        <w:spacing w:after="0" w:line="240" w:lineRule="auto"/>
      </w:pPr>
      <w:r>
        <w:separator/>
      </w:r>
    </w:p>
  </w:footnote>
  <w:footnote w:type="continuationSeparator" w:id="0">
    <w:p w14:paraId="2ED7049C" w14:textId="77777777" w:rsidR="004F295A" w:rsidRDefault="004F295A" w:rsidP="00824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49E4"/>
    <w:multiLevelType w:val="hybridMultilevel"/>
    <w:tmpl w:val="F5FA01B8"/>
    <w:lvl w:ilvl="0" w:tplc="0426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314D"/>
    <w:multiLevelType w:val="hybridMultilevel"/>
    <w:tmpl w:val="6DC6E438"/>
    <w:lvl w:ilvl="0" w:tplc="CAFEEB3E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320" w:hanging="360"/>
      </w:pPr>
    </w:lvl>
    <w:lvl w:ilvl="2" w:tplc="0426001B">
      <w:start w:val="1"/>
      <w:numFmt w:val="lowerRoman"/>
      <w:lvlText w:val="%3."/>
      <w:lvlJc w:val="right"/>
      <w:pPr>
        <w:ind w:left="2040" w:hanging="180"/>
      </w:pPr>
    </w:lvl>
    <w:lvl w:ilvl="3" w:tplc="0426000F">
      <w:start w:val="1"/>
      <w:numFmt w:val="decimal"/>
      <w:lvlText w:val="%4."/>
      <w:lvlJc w:val="left"/>
      <w:pPr>
        <w:ind w:left="2760" w:hanging="360"/>
      </w:pPr>
    </w:lvl>
    <w:lvl w:ilvl="4" w:tplc="04260019">
      <w:start w:val="1"/>
      <w:numFmt w:val="lowerLetter"/>
      <w:lvlText w:val="%5."/>
      <w:lvlJc w:val="left"/>
      <w:pPr>
        <w:ind w:left="3480" w:hanging="360"/>
      </w:pPr>
    </w:lvl>
    <w:lvl w:ilvl="5" w:tplc="0426001B">
      <w:start w:val="1"/>
      <w:numFmt w:val="lowerRoman"/>
      <w:lvlText w:val="%6."/>
      <w:lvlJc w:val="right"/>
      <w:pPr>
        <w:ind w:left="4200" w:hanging="180"/>
      </w:pPr>
    </w:lvl>
    <w:lvl w:ilvl="6" w:tplc="0426000F">
      <w:start w:val="1"/>
      <w:numFmt w:val="decimal"/>
      <w:lvlText w:val="%7."/>
      <w:lvlJc w:val="left"/>
      <w:pPr>
        <w:ind w:left="4920" w:hanging="360"/>
      </w:pPr>
    </w:lvl>
    <w:lvl w:ilvl="7" w:tplc="04260019">
      <w:start w:val="1"/>
      <w:numFmt w:val="lowerLetter"/>
      <w:lvlText w:val="%8."/>
      <w:lvlJc w:val="left"/>
      <w:pPr>
        <w:ind w:left="5640" w:hanging="360"/>
      </w:pPr>
    </w:lvl>
    <w:lvl w:ilvl="8" w:tplc="0426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5420F23"/>
    <w:multiLevelType w:val="multilevel"/>
    <w:tmpl w:val="D528E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59A31999"/>
    <w:multiLevelType w:val="multilevel"/>
    <w:tmpl w:val="5EC04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" w15:restartNumberingAfterBreak="0">
    <w:nsid w:val="5F614B0D"/>
    <w:multiLevelType w:val="hybridMultilevel"/>
    <w:tmpl w:val="481E1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D4F5D"/>
    <w:multiLevelType w:val="hybridMultilevel"/>
    <w:tmpl w:val="DEDC58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04"/>
    <w:rsid w:val="004F295A"/>
    <w:rsid w:val="00824E04"/>
    <w:rsid w:val="00984C37"/>
    <w:rsid w:val="00A979D7"/>
    <w:rsid w:val="00F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4E82"/>
  <w15:chartTrackingRefBased/>
  <w15:docId w15:val="{0D476843-C555-4972-8836-BA996D7F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4E0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824E04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saite">
    <w:name w:val="Hyperlink"/>
    <w:uiPriority w:val="99"/>
    <w:rsid w:val="00824E04"/>
    <w:rPr>
      <w:color w:val="0000FF"/>
      <w:u w:val="single"/>
    </w:rPr>
  </w:style>
  <w:style w:type="paragraph" w:customStyle="1" w:styleId="Default">
    <w:name w:val="Default"/>
    <w:rsid w:val="0082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atstarpm">
    <w:name w:val="No Spacing"/>
    <w:uiPriority w:val="1"/>
    <w:qFormat/>
    <w:rsid w:val="0082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824E04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824E04"/>
    <w:rPr>
      <w:rFonts w:ascii="Calibri" w:hAnsi="Calibri"/>
      <w:szCs w:val="21"/>
    </w:rPr>
  </w:style>
  <w:style w:type="paragraph" w:styleId="Galvene">
    <w:name w:val="header"/>
    <w:basedOn w:val="Parasts"/>
    <w:link w:val="GalveneRakstz"/>
    <w:uiPriority w:val="99"/>
    <w:unhideWhenUsed/>
    <w:rsid w:val="00824E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4E04"/>
  </w:style>
  <w:style w:type="paragraph" w:styleId="Kjene">
    <w:name w:val="footer"/>
    <w:basedOn w:val="Parasts"/>
    <w:link w:val="KjeneRakstz"/>
    <w:uiPriority w:val="99"/>
    <w:unhideWhenUsed/>
    <w:rsid w:val="00824E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jana.jelistratova@riga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4027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2</cp:revision>
  <dcterms:created xsi:type="dcterms:W3CDTF">2022-02-24T13:46:00Z</dcterms:created>
  <dcterms:modified xsi:type="dcterms:W3CDTF">2022-02-24T14:54:00Z</dcterms:modified>
</cp:coreProperties>
</file>